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64" w:before="0" w:after="60"/>
        <w:ind w:left="2838" w:hanging="10"/>
        <w:jc w:val="center"/>
        <w:rPr/>
      </w:pPr>
      <w:r>
        <w:rPr/>
        <w:t xml:space="preserve">ЗАТВЕРДЖЕНО </w:t>
      </w:r>
    </w:p>
    <w:p>
      <w:pPr>
        <w:pStyle w:val="Normal"/>
        <w:spacing w:lineRule="auto" w:line="264" w:before="0" w:after="52"/>
        <w:ind w:left="4021" w:right="1126" w:hanging="10"/>
        <w:jc w:val="center"/>
        <w:rPr/>
      </w:pPr>
      <w:r>
        <w:rPr/>
        <w:t xml:space="preserve">постановою Кабінету Міністрів України від 5 липня 2019 р. № 690 </w:t>
      </w:r>
    </w:p>
    <w:p>
      <w:pPr>
        <w:pStyle w:val="Normal"/>
        <w:spacing w:lineRule="auto" w:line="259" w:before="0" w:after="38"/>
        <w:ind w:left="10" w:right="175" w:hanging="10"/>
        <w:jc w:val="right"/>
        <w:rPr/>
      </w:pPr>
      <w:r>
        <w:rPr/>
        <w:t xml:space="preserve">(в редакції постанови Кабінету Міністрів України від 2 лютого </w:t>
      </w:r>
    </w:p>
    <w:p>
      <w:pPr>
        <w:pStyle w:val="Normal"/>
        <w:spacing w:lineRule="auto" w:line="264" w:before="0" w:after="178"/>
        <w:ind w:left="2836" w:hanging="10"/>
        <w:jc w:val="center"/>
        <w:rPr/>
      </w:pPr>
      <w:r>
        <w:rPr/>
        <w:t xml:space="preserve">2022 р. № 85) </w:t>
      </w:r>
    </w:p>
    <w:p>
      <w:pPr>
        <w:pStyle w:val="Normal"/>
        <w:spacing w:lineRule="auto" w:line="264" w:before="0" w:after="60"/>
        <w:ind w:left="173" w:right="173" w:hanging="10"/>
        <w:jc w:val="center"/>
        <w:rPr/>
      </w:pPr>
      <w:r>
        <w:rPr/>
        <w:t xml:space="preserve">ТИПОВИЙ ІНДИВІДУАЛЬНИЙ ДОГОВІР </w:t>
      </w:r>
    </w:p>
    <w:p>
      <w:pPr>
        <w:pStyle w:val="Normal"/>
        <w:spacing w:lineRule="auto" w:line="264" w:before="0" w:after="161"/>
        <w:ind w:left="946" w:right="886" w:hanging="10"/>
        <w:jc w:val="center"/>
        <w:rPr/>
      </w:pPr>
      <w:r>
        <w:rPr/>
        <w:t xml:space="preserve">про надання послуг з централізованого водопостачання та  централізованого водовідведення </w:t>
      </w:r>
    </w:p>
    <w:p>
      <w:pPr>
        <w:pStyle w:val="Normal"/>
        <w:spacing w:before="0" w:after="186"/>
        <w:ind w:left="-15" w:hanging="0"/>
        <w:rPr/>
      </w:pPr>
      <w:r>
        <w:rPr/>
        <w:t>м. Буськ                                                                                   ___ ________________ 20___</w:t>
      </w:r>
      <w:bookmarkStart w:id="0" w:name="_GoBack"/>
      <w:bookmarkEnd w:id="0"/>
      <w:r>
        <w:rPr/>
        <w:t xml:space="preserve">_ р. </w:t>
      </w:r>
    </w:p>
    <w:p>
      <w:pPr>
        <w:pStyle w:val="Normal"/>
        <w:spacing w:lineRule="auto" w:line="264" w:before="0" w:after="50"/>
        <w:ind w:left="-5" w:hanging="10"/>
        <w:jc w:val="left"/>
        <w:rPr/>
      </w:pPr>
      <w:r>
        <w:rPr>
          <w:b/>
        </w:rPr>
        <w:t xml:space="preserve">Буське підприємство водопровідно-каналізаційного господарства </w:t>
      </w:r>
      <w:r>
        <w:rPr/>
        <w:t xml:space="preserve">в особі начальника </w:t>
      </w:r>
    </w:p>
    <w:p>
      <w:pPr>
        <w:pStyle w:val="Normal"/>
        <w:spacing w:lineRule="auto" w:line="364"/>
        <w:ind w:left="-15" w:hanging="0"/>
        <w:rPr/>
      </w:pPr>
      <w:r>
        <w:rPr/>
        <w:t xml:space="preserve">Бучка Володимира Володимировича , що діє на підставі Статуту, (далі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 Загальні положення </w:t>
      </w:r>
    </w:p>
    <w:p>
      <w:pPr>
        <w:pStyle w:val="Normal"/>
        <w:numPr>
          <w:ilvl w:val="0"/>
          <w:numId w:val="1"/>
        </w:numPr>
        <w:rPr/>
      </w:pPr>
      <w:r>
        <w:rPr/>
        <w:t xml:space="preserve">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 </w:t>
      </w:r>
    </w:p>
    <w:p>
      <w:pPr>
        <w:pStyle w:val="Normal"/>
        <w:numPr>
          <w:ilvl w:val="0"/>
          <w:numId w:val="1"/>
        </w:numPr>
        <w:spacing w:before="0" w:after="41"/>
        <w:rPr>
          <w:u w:val="single"/>
        </w:rPr>
      </w:pPr>
      <w:r>
        <w:rPr/>
        <w:t xml:space="preserve">Даний договір вважається укладеним через 30 днів з моменту розміщення на сайті   </w:t>
      </w:r>
      <w:r>
        <w:rPr>
          <w:rFonts w:ascii="Georgia" w:hAnsi="Georgia"/>
          <w:b/>
          <w:bCs/>
          <w:szCs w:val="24"/>
          <w:u w:val="single"/>
          <w:lang w:val="en-US"/>
        </w:rPr>
        <w:t>abon</w:t>
      </w:r>
      <w:r>
        <w:rPr>
          <w:rFonts w:ascii="Georgia" w:hAnsi="Georgia"/>
          <w:b/>
          <w:bCs/>
          <w:szCs w:val="24"/>
          <w:u w:val="single"/>
          <w:lang w:val="ru-RU"/>
        </w:rPr>
        <w:t>.</w:t>
      </w:r>
      <w:r>
        <w:rPr>
          <w:rFonts w:ascii="Georgia" w:hAnsi="Georgia"/>
          <w:b/>
          <w:bCs/>
          <w:szCs w:val="24"/>
          <w:u w:val="single"/>
          <w:lang w:val="en-US"/>
        </w:rPr>
        <w:t>com</w:t>
      </w:r>
      <w:r>
        <w:rPr>
          <w:rFonts w:ascii="Georgia" w:hAnsi="Georgia"/>
          <w:b/>
          <w:bCs/>
          <w:szCs w:val="24"/>
          <w:u w:val="single"/>
          <w:lang w:val="ru-RU"/>
        </w:rPr>
        <w:t>.</w:t>
      </w:r>
      <w:r>
        <w:rPr>
          <w:rFonts w:ascii="Georgia" w:hAnsi="Georgia"/>
          <w:b/>
          <w:bCs/>
          <w:szCs w:val="24"/>
          <w:u w:val="single"/>
          <w:lang w:val="en-US"/>
        </w:rPr>
        <w:t>ua</w:t>
      </w:r>
      <w:r>
        <w:rPr>
          <w:rFonts w:ascii="Georgia" w:hAnsi="Georgia"/>
          <w:b/>
          <w:bCs/>
          <w:szCs w:val="24"/>
          <w:u w:val="single"/>
        </w:rPr>
        <w:t>_</w:t>
      </w:r>
      <w:r>
        <w:rPr>
          <w:u w:val="single"/>
        </w:rPr>
        <w:t xml:space="preserve"> </w:t>
      </w:r>
    </w:p>
    <w:p>
      <w:pPr>
        <w:pStyle w:val="Normal"/>
        <w:spacing w:lineRule="auto" w:line="259" w:before="0" w:after="155"/>
        <w:ind w:left="141" w:right="144" w:hanging="10"/>
        <w:jc w:val="center"/>
        <w:rPr/>
      </w:pPr>
      <w:r>
        <w:rPr>
          <w:sz w:val="20"/>
        </w:rPr>
        <w:t xml:space="preserve">(назва офіційного веб-сайту органу місцевого самоврядування та/або веб-сайту виконавця) </w:t>
      </w:r>
    </w:p>
    <w:p>
      <w:pPr>
        <w:pStyle w:val="Normal"/>
        <w:numPr>
          <w:ilvl w:val="0"/>
          <w:numId w:val="1"/>
        </w:numPr>
        <w:spacing w:lineRule="auto" w:line="259" w:before="0" w:after="155"/>
        <w:ind w:left="141" w:right="144" w:hanging="10"/>
        <w:jc w:val="center"/>
        <w:rPr/>
      </w:pPr>
      <w:r>
        <w:rPr/>
        <w:t xml:space="preserve">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сайті -  </w:t>
      </w:r>
      <w:r>
        <w:rPr>
          <w:rFonts w:ascii="Georgia" w:hAnsi="Georgia"/>
          <w:b/>
          <w:bCs/>
          <w:szCs w:val="24"/>
          <w:u w:val="single"/>
          <w:lang w:val="en-US"/>
        </w:rPr>
        <w:t>abon</w:t>
      </w:r>
      <w:r>
        <w:rPr>
          <w:rFonts w:ascii="Georgia" w:hAnsi="Georgia"/>
          <w:b/>
          <w:bCs/>
          <w:szCs w:val="24"/>
          <w:u w:val="single"/>
        </w:rPr>
        <w:t>.</w:t>
      </w:r>
      <w:r>
        <w:rPr>
          <w:rFonts w:ascii="Georgia" w:hAnsi="Georgia"/>
          <w:b/>
          <w:bCs/>
          <w:szCs w:val="24"/>
          <w:u w:val="single"/>
          <w:lang w:val="en-US"/>
        </w:rPr>
        <w:t>com</w:t>
      </w:r>
      <w:r>
        <w:rPr>
          <w:rFonts w:ascii="Georgia" w:hAnsi="Georgia"/>
          <w:b/>
          <w:bCs/>
          <w:szCs w:val="24"/>
          <w:u w:val="single"/>
        </w:rPr>
        <w:t>.</w:t>
      </w:r>
      <w:r>
        <w:rPr>
          <w:rFonts w:ascii="Georgia" w:hAnsi="Georgia"/>
          <w:b/>
          <w:bCs/>
          <w:szCs w:val="24"/>
          <w:u w:val="single"/>
          <w:lang w:val="en-US"/>
        </w:rPr>
        <w:t>ua</w:t>
      </w:r>
      <w:r>
        <w:rPr>
          <w:sz w:val="20"/>
          <w:u w:val="single"/>
        </w:rPr>
        <w:t xml:space="preserve">                                                                                                                                </w:t>
      </w:r>
      <w:r>
        <w:rPr>
          <w:sz w:val="20"/>
        </w:rPr>
        <w:t xml:space="preserve">(назва офіційного веб-сайту органу місцевого самоврядування та/або веб-сайту виконавця) </w:t>
      </w:r>
    </w:p>
    <w:p>
      <w:pPr>
        <w:pStyle w:val="Normal"/>
        <w:numPr>
          <w:ilvl w:val="0"/>
          <w:numId w:val="1"/>
        </w:numPr>
        <w:spacing w:lineRule="auto" w:line="345" w:before="0" w:after="134"/>
        <w:rPr/>
      </w:pPr>
      <w:r>
        <w:rPr/>
        <w:t xml:space="preserve">Інформування споживача про намір зміни цін/тарифів на послуги здійснюється виконавцем відповідно до законодавства. </w:t>
      </w:r>
    </w:p>
    <w:p>
      <w:pPr>
        <w:pStyle w:val="Normal"/>
        <w:numPr>
          <w:ilvl w:val="0"/>
          <w:numId w:val="1"/>
        </w:numPr>
        <w:spacing w:lineRule="auto" w:line="321" w:before="0" w:after="0"/>
        <w:rPr/>
      </w:pPr>
      <w:r>
        <w:rPr/>
        <w:t xml:space="preserve">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 </w:t>
      </w:r>
    </w:p>
    <w:p>
      <w:pPr>
        <w:pStyle w:val="Normal"/>
        <w:spacing w:lineRule="auto" w:line="259" w:before="0" w:after="55"/>
        <w:ind w:left="53" w:hanging="0"/>
        <w:jc w:val="center"/>
        <w:rPr/>
      </w:pPr>
      <w:r>
        <w:rPr>
          <w:b/>
        </w:rPr>
        <w:t xml:space="preserve"> </w:t>
      </w:r>
    </w:p>
    <w:p>
      <w:pPr>
        <w:pStyle w:val="Normal"/>
        <w:spacing w:lineRule="auto" w:line="264" w:before="0" w:after="112"/>
        <w:ind w:left="173" w:right="170" w:hanging="10"/>
        <w:jc w:val="center"/>
        <w:rPr/>
      </w:pPr>
      <w:r>
        <w:rPr/>
        <w:t>Предмет договору</w:t>
      </w:r>
      <w:r>
        <w:rPr>
          <w:b/>
        </w:rPr>
        <w:t xml:space="preserve"> </w:t>
      </w:r>
    </w:p>
    <w:p>
      <w:pPr>
        <w:pStyle w:val="Normal"/>
        <w:numPr>
          <w:ilvl w:val="0"/>
          <w:numId w:val="1"/>
        </w:numPr>
        <w:spacing w:before="0" w:after="195"/>
        <w:rPr/>
      </w:pPr>
      <w:r>
        <w:rPr/>
        <w:t xml:space="preserve">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 </w:t>
      </w:r>
    </w:p>
    <w:p>
      <w:pPr>
        <w:pStyle w:val="Normal"/>
        <w:numPr>
          <w:ilvl w:val="0"/>
          <w:numId w:val="1"/>
        </w:numPr>
        <w:rPr/>
      </w:pPr>
      <w:r>
        <w:rPr/>
        <w:t xml:space="preserve">Вимоги до якості послуги: </w:t>
      </w:r>
    </w:p>
    <w:p>
      <w:pPr>
        <w:pStyle w:val="Normal"/>
        <w:numPr>
          <w:ilvl w:val="0"/>
          <w:numId w:val="2"/>
        </w:numPr>
        <w:rPr/>
      </w:pPr>
      <w:r>
        <w:rPr/>
        <w:t xml:space="preserve">склад і якість питної води повинні відповідати вимогам державних санітарних норм і правил на питну воду; </w:t>
      </w:r>
    </w:p>
    <w:p>
      <w:pPr>
        <w:pStyle w:val="Normal"/>
        <w:numPr>
          <w:ilvl w:val="0"/>
          <w:numId w:val="2"/>
        </w:numPr>
        <w:spacing w:lineRule="auto" w:line="326" w:before="0" w:after="148"/>
        <w:ind w:left="-15" w:firstLine="567"/>
        <w:jc w:val="left"/>
        <w:rPr/>
      </w:pPr>
      <w:r>
        <w:rPr/>
        <w:t xml:space="preserve">значення тиску питної води повинно відповідати параметрам, встановленим державними будівельними нормами і правилами, та розміщуватися на  сайті - </w:t>
      </w:r>
      <w:r>
        <w:rPr>
          <w:rFonts w:ascii="Georgia" w:hAnsi="Georgia"/>
          <w:b/>
          <w:bCs/>
          <w:szCs w:val="24"/>
          <w:lang w:val="en-US"/>
        </w:rPr>
        <w:t>abon</w:t>
      </w:r>
      <w:r>
        <w:rPr>
          <w:rFonts w:ascii="Georgia" w:hAnsi="Georgia"/>
          <w:b/>
          <w:bCs/>
          <w:szCs w:val="24"/>
        </w:rPr>
        <w:t>.</w:t>
      </w:r>
      <w:r>
        <w:rPr>
          <w:rFonts w:ascii="Georgia" w:hAnsi="Georgia"/>
          <w:b/>
          <w:bCs/>
          <w:szCs w:val="24"/>
          <w:lang w:val="en-US"/>
        </w:rPr>
        <w:t>com</w:t>
      </w:r>
      <w:r>
        <w:rPr>
          <w:rFonts w:ascii="Georgia" w:hAnsi="Georgia"/>
          <w:b/>
          <w:bCs/>
          <w:szCs w:val="24"/>
        </w:rPr>
        <w:t>.</w:t>
      </w:r>
      <w:r>
        <w:rPr>
          <w:rFonts w:ascii="Georgia" w:hAnsi="Georgia"/>
          <w:b/>
          <w:bCs/>
          <w:szCs w:val="24"/>
          <w:lang w:val="en-US"/>
        </w:rPr>
        <w:t>ua</w:t>
      </w:r>
      <w:r>
        <w:rPr>
          <w:sz w:val="20"/>
        </w:rPr>
        <w:t xml:space="preserve"> (посилання на сторінку на офіційному веб-сайті органу місцевого самоврядування та/або веб-сайті виконавця послуги) </w:t>
      </w:r>
    </w:p>
    <w:p>
      <w:pPr>
        <w:pStyle w:val="Normal"/>
        <w:spacing w:before="0" w:after="309"/>
        <w:ind w:left="-15" w:firstLine="556"/>
        <w:rPr/>
      </w:pPr>
      <w:r>
        <w:rPr/>
        <w:t xml:space="preserve">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 </w:t>
      </w:r>
    </w:p>
    <w:p>
      <w:pPr>
        <w:pStyle w:val="Normal"/>
        <w:spacing w:lineRule="auto" w:line="264" w:before="0" w:after="112"/>
        <w:ind w:left="173" w:right="176" w:hanging="10"/>
        <w:jc w:val="center"/>
        <w:rPr/>
      </w:pPr>
      <w:r>
        <w:rPr/>
        <w:t xml:space="preserve">Порядок надання та вимоги до якості послуги </w:t>
      </w:r>
    </w:p>
    <w:p>
      <w:pPr>
        <w:pStyle w:val="Normal"/>
        <w:numPr>
          <w:ilvl w:val="0"/>
          <w:numId w:val="3"/>
        </w:numPr>
        <w:rPr/>
      </w:pPr>
      <w:r>
        <w:rPr/>
        <w:t xml:space="preserve">Виконавець забезпечує постачання послуг безперервно з гарантованим рівнем безпеки та значенням тиску. </w:t>
      </w:r>
    </w:p>
    <w:p>
      <w:pPr>
        <w:pStyle w:val="Normal"/>
        <w:numPr>
          <w:ilvl w:val="0"/>
          <w:numId w:val="3"/>
        </w:numPr>
        <w:rPr/>
      </w:pPr>
      <w:r>
        <w:rPr/>
        <w:t xml:space="preserve">Надання послуг здійснюється безперервно, крім часу перерв, визначених частиною першою статті 16 Закону України “Про житлово-комунальні послуги”. </w:t>
      </w:r>
    </w:p>
    <w:p>
      <w:pPr>
        <w:pStyle w:val="Normal"/>
        <w:numPr>
          <w:ilvl w:val="0"/>
          <w:numId w:val="3"/>
        </w:numPr>
        <w:rPr/>
      </w:pPr>
      <w:r>
        <w:rPr/>
        <w:t xml:space="preserve">Виконавець забезпечує постачання послуг у відповідній кількості та якості згідно з вимогами пункту 7 цього договору до межі зовнішніх інженерних мереж постачання послуг виконавця та внутрішньобудинкових систем багатоквартирного будинку (індивідуального (садибного) будинку). </w:t>
      </w:r>
    </w:p>
    <w:p>
      <w:pPr>
        <w:pStyle w:val="Normal"/>
        <w:numPr>
          <w:ilvl w:val="0"/>
          <w:numId w:val="3"/>
        </w:numPr>
        <w:rPr/>
      </w:pPr>
      <w:r>
        <w:rPr/>
        <w:t xml:space="preserve">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 </w:t>
      </w:r>
    </w:p>
    <w:p>
      <w:pPr>
        <w:pStyle w:val="Normal"/>
        <w:ind w:left="-15" w:firstLine="556"/>
        <w:rPr/>
      </w:pPr>
      <w:r>
        <w:rPr/>
        <w:t xml:space="preserve">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 </w:t>
      </w:r>
    </w:p>
    <w:p>
      <w:pPr>
        <w:pStyle w:val="Normal"/>
        <w:numPr>
          <w:ilvl w:val="0"/>
          <w:numId w:val="3"/>
        </w:numPr>
        <w:spacing w:lineRule="auto" w:line="319" w:before="0" w:after="248"/>
        <w:rPr/>
      </w:pPr>
      <w:r>
        <w:rPr/>
        <w:t xml:space="preserve">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 </w:t>
      </w:r>
    </w:p>
    <w:p>
      <w:pPr>
        <w:pStyle w:val="Normal"/>
        <w:spacing w:lineRule="auto" w:line="264" w:before="0" w:after="112"/>
        <w:ind w:left="173" w:right="176" w:hanging="10"/>
        <w:jc w:val="center"/>
        <w:rPr/>
      </w:pPr>
      <w:r>
        <w:rPr/>
        <w:t xml:space="preserve">Облік послуги </w:t>
      </w:r>
    </w:p>
    <w:p>
      <w:pPr>
        <w:pStyle w:val="Normal"/>
        <w:numPr>
          <w:ilvl w:val="0"/>
          <w:numId w:val="3"/>
        </w:numPr>
        <w:rPr/>
      </w:pPr>
      <w:r>
        <w:rPr/>
        <w:t xml:space="preserve">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 </w:t>
      </w:r>
    </w:p>
    <w:p>
      <w:pPr>
        <w:pStyle w:val="Normal"/>
        <w:spacing w:before="0" w:after="225"/>
        <w:ind w:left="-15" w:firstLine="556"/>
        <w:rPr/>
      </w:pPr>
      <w:r>
        <w:rPr/>
        <w:t xml:space="preserve">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 </w:t>
      </w:r>
    </w:p>
    <w:p>
      <w:pPr>
        <w:pStyle w:val="Normal"/>
        <w:spacing w:before="0" w:after="77"/>
        <w:ind w:left="-15" w:firstLine="556"/>
        <w:rPr/>
      </w:pPr>
      <w:r>
        <w:rPr/>
        <w:t xml:space="preserve">Якщо будинок оснащено двома та більше вузлами комерційного обліку централізованого водопостачання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 </w:t>
      </w:r>
    </w:p>
    <w:p>
      <w:pPr>
        <w:pStyle w:val="Normal"/>
        <w:ind w:left="567" w:hanging="0"/>
        <w:rPr/>
      </w:pPr>
      <w:r>
        <w:rPr/>
        <w:t xml:space="preserve">Одиницею вимірювання обсягу спожитих споживачем послуг є куб. метр. </w:t>
      </w:r>
    </w:p>
    <w:p>
      <w:pPr>
        <w:pStyle w:val="Normal"/>
        <w:numPr>
          <w:ilvl w:val="0"/>
          <w:numId w:val="3"/>
        </w:numPr>
        <w:rPr/>
      </w:pPr>
      <w:r>
        <w:rPr/>
        <w:t xml:space="preserve">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 </w:t>
      </w:r>
    </w:p>
    <w:p>
      <w:pPr>
        <w:pStyle w:val="Normal"/>
        <w:numPr>
          <w:ilvl w:val="0"/>
          <w:numId w:val="3"/>
        </w:numPr>
        <w:spacing w:lineRule="auto" w:line="319"/>
        <w:rPr/>
      </w:pPr>
      <w:r>
        <w:rPr/>
        <w:t xml:space="preserve">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 </w:t>
      </w:r>
    </w:p>
    <w:p>
      <w:pPr>
        <w:pStyle w:val="Normal"/>
        <w:numPr>
          <w:ilvl w:val="0"/>
          <w:numId w:val="3"/>
        </w:numPr>
        <w:spacing w:before="0" w:after="196"/>
        <w:rPr/>
      </w:pPr>
      <w:r>
        <w:rPr/>
        <w:t xml:space="preserve">Початок періоду виходу з ладу вузла комерційного обліку визначається: </w:t>
      </w:r>
    </w:p>
    <w:p>
      <w:pPr>
        <w:pStyle w:val="Normal"/>
        <w:spacing w:lineRule="auto" w:line="259" w:before="0" w:after="78"/>
        <w:ind w:left="10" w:right="-5" w:hanging="10"/>
        <w:jc w:val="right"/>
        <w:rPr/>
      </w:pPr>
      <w:r>
        <w:rPr/>
        <w:t xml:space="preserve">за даними електронного архіву - у разі отримання з нього інформації щодо дати початку </w:t>
      </w:r>
    </w:p>
    <w:p>
      <w:pPr>
        <w:pStyle w:val="Normal"/>
        <w:spacing w:lineRule="auto" w:line="429" w:before="0" w:after="0"/>
        <w:ind w:left="551" w:hanging="566"/>
        <w:rPr/>
      </w:pPr>
      <w:r>
        <w:rPr/>
        <w:t xml:space="preserve">періоду виходу з ладу вузла комерційного обліку; з дати, що настає за днем останнього періодичного огляду вузла комерційного обліку, - </w:t>
      </w:r>
    </w:p>
    <w:p>
      <w:pPr>
        <w:pStyle w:val="Normal"/>
        <w:ind w:left="-15" w:hanging="0"/>
        <w:rPr/>
      </w:pPr>
      <w:r>
        <w:rPr/>
        <w:t xml:space="preserve">у разі відсутності електронного архіву. </w:t>
      </w:r>
    </w:p>
    <w:p>
      <w:pPr>
        <w:pStyle w:val="Normal"/>
        <w:spacing w:lineRule="auto" w:line="259" w:before="0" w:after="116"/>
        <w:ind w:left="10" w:right="-5" w:hanging="10"/>
        <w:jc w:val="right"/>
        <w:rPr/>
      </w:pPr>
      <w:r>
        <w:rPr/>
        <w:t xml:space="preserve">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 </w:t>
      </w:r>
    </w:p>
    <w:p>
      <w:pPr>
        <w:pStyle w:val="Normal"/>
        <w:numPr>
          <w:ilvl w:val="0"/>
          <w:numId w:val="3"/>
        </w:numPr>
        <w:rPr/>
      </w:pPr>
      <w:r>
        <w:rPr/>
        <w:t xml:space="preserve">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 </w:t>
      </w:r>
    </w:p>
    <w:p>
      <w:pPr>
        <w:pStyle w:val="Normal"/>
        <w:ind w:left="-15" w:firstLine="556"/>
        <w:rPr/>
      </w:pPr>
      <w:r>
        <w:rPr/>
        <w:t xml:space="preserve">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 </w:t>
      </w:r>
    </w:p>
    <w:p>
      <w:pPr>
        <w:pStyle w:val="Normal"/>
        <w:numPr>
          <w:ilvl w:val="0"/>
          <w:numId w:val="3"/>
        </w:numPr>
        <w:rPr/>
      </w:pPr>
      <w:r>
        <w:rPr/>
        <w:t xml:space="preserve">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 </w:t>
      </w:r>
    </w:p>
    <w:p>
      <w:pPr>
        <w:pStyle w:val="Normal"/>
        <w:ind w:left="-15" w:firstLine="556"/>
        <w:rPr/>
      </w:pPr>
      <w:r>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 </w:t>
      </w:r>
    </w:p>
    <w:p>
      <w:pPr>
        <w:pStyle w:val="Normal"/>
        <w:numPr>
          <w:ilvl w:val="0"/>
          <w:numId w:val="3"/>
        </w:numPr>
        <w:rPr/>
      </w:pPr>
      <w:r>
        <w:rPr/>
        <w:t xml:space="preserve">Зняття показань засобів вимірювальної техніки вузла (вузлів) комерційного обліку послуги здійснюється виконавцем щомісяця. </w:t>
      </w:r>
    </w:p>
    <w:p>
      <w:pPr>
        <w:pStyle w:val="Normal"/>
        <w:numPr>
          <w:ilvl w:val="0"/>
          <w:numId w:val="3"/>
        </w:numPr>
        <w:rPr/>
      </w:pPr>
      <w:r>
        <w:rPr/>
        <w:t xml:space="preserve">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 </w:t>
      </w:r>
    </w:p>
    <w:p>
      <w:pPr>
        <w:pStyle w:val="Normal"/>
        <w:ind w:left="-15" w:firstLine="556"/>
        <w:rPr/>
      </w:pPr>
      <w:r>
        <w:rPr/>
        <w:t xml:space="preserve">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 </w:t>
      </w:r>
    </w:p>
    <w:p>
      <w:pPr>
        <w:pStyle w:val="Normal"/>
        <w:ind w:left="-15" w:firstLine="556"/>
        <w:rPr/>
      </w:pPr>
      <w:r>
        <w:rPr/>
        <w:t xml:space="preserve">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 </w:t>
      </w:r>
    </w:p>
    <w:p>
      <w:pPr>
        <w:pStyle w:val="Normal"/>
        <w:numPr>
          <w:ilvl w:val="0"/>
          <w:numId w:val="3"/>
        </w:numPr>
        <w:spacing w:before="0" w:after="190"/>
        <w:rPr/>
      </w:pPr>
      <w:r>
        <w:rPr/>
        <w:t xml:space="preserve">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 </w:t>
      </w:r>
    </w:p>
    <w:p>
      <w:pPr>
        <w:pStyle w:val="Normal"/>
        <w:spacing w:before="0" w:after="193"/>
        <w:ind w:left="-15" w:firstLine="556"/>
        <w:rPr/>
      </w:pPr>
      <w:r>
        <w:rPr/>
        <w:t xml:space="preserve">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 </w:t>
      </w:r>
    </w:p>
    <w:p>
      <w:pPr>
        <w:pStyle w:val="Normal"/>
        <w:spacing w:before="0" w:after="193"/>
        <w:ind w:left="-15" w:firstLine="556"/>
        <w:rPr/>
      </w:pPr>
      <w:r>
        <w:rPr/>
        <w:t xml:space="preserve">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 </w:t>
      </w:r>
    </w:p>
    <w:p>
      <w:pPr>
        <w:pStyle w:val="Normal"/>
        <w:tabs>
          <w:tab w:val="clear" w:pos="708"/>
          <w:tab w:val="center" w:pos="999" w:leader="none"/>
          <w:tab w:val="center" w:pos="2726" w:leader="none"/>
          <w:tab w:val="center" w:pos="4381" w:leader="none"/>
          <w:tab w:val="center" w:pos="6284" w:leader="none"/>
          <w:tab w:val="center" w:pos="8290" w:leader="none"/>
          <w:tab w:val="right" w:pos="9646" w:leader="none"/>
        </w:tabs>
        <w:spacing w:lineRule="auto" w:line="259" w:before="0" w:after="0"/>
        <w:ind w:left="0" w:right="-5" w:hanging="0"/>
        <w:jc w:val="left"/>
        <w:rPr/>
      </w:pPr>
      <w:r>
        <w:rPr>
          <w:rFonts w:eastAsia="Calibri" w:cs="Calibri" w:ascii="Calibri" w:hAnsi="Calibri"/>
          <w:sz w:val="22"/>
        </w:rPr>
        <w:tab/>
      </w:r>
      <w:r>
        <w:rPr/>
        <w:t xml:space="preserve">Власник </w:t>
        <w:tab/>
        <w:t xml:space="preserve">(співвласники) </w:t>
        <w:tab/>
        <w:t xml:space="preserve">будівлі </w:t>
        <w:tab/>
        <w:t xml:space="preserve">(багатоквартирного </w:t>
        <w:tab/>
        <w:t xml:space="preserve">будинку) </w:t>
        <w:tab/>
        <w:t xml:space="preserve">або  </w:t>
      </w:r>
    </w:p>
    <w:p>
      <w:pPr>
        <w:pStyle w:val="Normal"/>
        <w:ind w:left="-15" w:hanging="0"/>
        <w:rPr/>
      </w:pPr>
      <w:r>
        <w:rPr/>
        <w:t xml:space="preserve">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 </w:t>
      </w:r>
    </w:p>
    <w:p>
      <w:pPr>
        <w:pStyle w:val="Normal"/>
        <w:ind w:left="-15" w:firstLine="556"/>
        <w:rPr/>
      </w:pPr>
      <w:r>
        <w:rPr/>
        <w:t xml:space="preserve">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 </w:t>
      </w:r>
    </w:p>
    <w:p>
      <w:pPr>
        <w:pStyle w:val="Normal"/>
        <w:spacing w:lineRule="auto" w:line="374" w:before="0" w:after="0"/>
        <w:ind w:left="-15" w:firstLine="556"/>
        <w:rPr/>
      </w:pPr>
      <w:r>
        <w:rPr/>
        <w:t xml:space="preserve">У разі коли зняття показань здійснює споживач, він щомісяця з 20 по 30 число передає показання вузлів розподільного обліку водопостачання виконавцю в один з таких способів: за номером телефону, зазначеним у розділі “Реквізити виконавця” цього договору; на адресу електронної пошти, зазначену в розділі “Реквізити виконавця” цього договору; через електронну систему обліку розрахунків споживачів, зазначену в розділі “Реквізити </w:t>
      </w:r>
    </w:p>
    <w:p>
      <w:pPr>
        <w:pStyle w:val="Normal"/>
        <w:spacing w:lineRule="auto" w:line="343" w:before="0" w:after="0"/>
        <w:ind w:left="551" w:hanging="566"/>
        <w:rPr/>
      </w:pPr>
      <w:r>
        <w:rPr/>
        <w:t xml:space="preserve">виконавця” цього договору; інші засоби повідомлення, що зазначаються у розділі “Реквізити виконавця” цього </w:t>
      </w:r>
    </w:p>
    <w:p>
      <w:pPr>
        <w:pStyle w:val="Normal"/>
        <w:ind w:left="-15" w:hanging="0"/>
        <w:rPr/>
      </w:pPr>
      <w:r>
        <w:rPr/>
        <w:t xml:space="preserve">договору. </w:t>
      </w:r>
    </w:p>
    <w:p>
      <w:pPr>
        <w:pStyle w:val="Normal"/>
        <w:ind w:left="-15" w:firstLine="556"/>
        <w:rPr/>
      </w:pPr>
      <w:r>
        <w:rPr/>
        <w:t xml:space="preserve">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 </w:t>
      </w:r>
    </w:p>
    <w:p>
      <w:pPr>
        <w:pStyle w:val="Normal"/>
        <w:spacing w:before="0" w:after="175"/>
        <w:ind w:left="-15" w:firstLine="556"/>
        <w:rPr/>
      </w:pPr>
      <w:r>
        <w:rPr/>
        <w:t xml:space="preserve">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 </w:t>
      </w:r>
    </w:p>
    <w:p>
      <w:pPr>
        <w:pStyle w:val="Normal"/>
        <w:ind w:left="-15" w:firstLine="556"/>
        <w:rPr/>
      </w:pPr>
      <w:r>
        <w:rPr/>
        <w:t xml:space="preserve">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 </w:t>
      </w:r>
    </w:p>
    <w:p>
      <w:pPr>
        <w:pStyle w:val="Normal"/>
        <w:numPr>
          <w:ilvl w:val="0"/>
          <w:numId w:val="4"/>
        </w:numPr>
        <w:spacing w:before="0" w:after="88"/>
        <w:rPr/>
      </w:pPr>
      <w:r>
        <w:rPr/>
        <w:t xml:space="preserve">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 </w:t>
      </w:r>
    </w:p>
    <w:p>
      <w:pPr>
        <w:pStyle w:val="Normal"/>
        <w:spacing w:before="0" w:after="174"/>
        <w:ind w:left="-15" w:firstLine="556"/>
        <w:rPr/>
      </w:pPr>
      <w:r>
        <w:rPr/>
        <w:t xml:space="preserve">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w:t>
      </w:r>
    </w:p>
    <w:p>
      <w:pPr>
        <w:pStyle w:val="Normal"/>
        <w:spacing w:lineRule="auto" w:line="369" w:before="0" w:after="0"/>
        <w:ind w:left="-15" w:firstLine="556"/>
        <w:rPr/>
      </w:pPr>
      <w:r>
        <w:rPr/>
        <w:t xml:space="preserve">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 вузла розподільного обліку - шляхом повідомлення в рахунку на оплату послуги та/або </w:t>
      </w:r>
    </w:p>
    <w:p>
      <w:pPr>
        <w:pStyle w:val="Normal"/>
        <w:ind w:left="-15" w:hanging="0"/>
        <w:rPr/>
      </w:pPr>
      <w:r>
        <w:rPr/>
        <w:t xml:space="preserve">через електронну систему обліку розрахунків споживача. </w:t>
      </w:r>
    </w:p>
    <w:p>
      <w:pPr>
        <w:pStyle w:val="Normal"/>
        <w:numPr>
          <w:ilvl w:val="0"/>
          <w:numId w:val="4"/>
        </w:numPr>
        <w:rPr/>
      </w:pPr>
      <w:r>
        <w:rPr/>
        <w:t xml:space="preserve">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 </w:t>
      </w:r>
    </w:p>
    <w:p>
      <w:pPr>
        <w:pStyle w:val="Normal"/>
        <w:ind w:left="-15" w:firstLine="556"/>
        <w:rPr/>
      </w:pPr>
      <w:r>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 допуску виконавець зобов’язаний здійснювати розрахунки з таким споживачем як із споживачем, приміщення якого не оснащені вузлами розподільного обліку. </w:t>
      </w:r>
    </w:p>
    <w:p>
      <w:pPr>
        <w:pStyle w:val="Normal"/>
        <w:ind w:left="-15" w:firstLine="556"/>
        <w:rPr/>
      </w:pPr>
      <w:r>
        <w:rPr/>
        <w:t xml:space="preserve">Після відновлення надання показань вузлів обліку споживачем виконавець зобов’язаний провести перерозподіл спожитих послуг у будинку та перерахунок. </w:t>
      </w:r>
    </w:p>
    <w:p>
      <w:pPr>
        <w:pStyle w:val="Normal"/>
        <w:ind w:left="-15" w:firstLine="556"/>
        <w:rPr/>
      </w:pPr>
      <w:r>
        <w:rPr/>
        <w:t xml:space="preserve">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 </w:t>
      </w:r>
    </w:p>
    <w:p>
      <w:pPr>
        <w:pStyle w:val="Normal"/>
        <w:numPr>
          <w:ilvl w:val="0"/>
          <w:numId w:val="4"/>
        </w:numPr>
        <w:spacing w:lineRule="auto" w:line="259" w:before="0" w:after="115"/>
        <w:rPr/>
      </w:pPr>
      <w:r>
        <w:rPr/>
        <w:t xml:space="preserve">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 </w:t>
      </w:r>
    </w:p>
    <w:p>
      <w:pPr>
        <w:pStyle w:val="Normal"/>
        <w:numPr>
          <w:ilvl w:val="0"/>
          <w:numId w:val="4"/>
        </w:numPr>
        <w:rPr/>
      </w:pPr>
      <w:r>
        <w:rPr/>
        <w:t xml:space="preserve">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 </w:t>
      </w:r>
    </w:p>
    <w:p>
      <w:pPr>
        <w:pStyle w:val="Normal"/>
        <w:numPr>
          <w:ilvl w:val="0"/>
          <w:numId w:val="4"/>
        </w:numPr>
        <w:spacing w:before="0" w:after="18"/>
        <w:rPr/>
      </w:pPr>
      <w:r>
        <w:rPr/>
        <w:t xml:space="preserve">Виконавець повідомляє споживачу про час та дату контрольного зняття показань засобів вузла (вузлів) розподільного обліку не менше ніж за 15 днів у спосіб </w:t>
      </w:r>
      <w:r>
        <w:rPr>
          <w:b/>
          <w:u w:val="single" w:color="000000"/>
        </w:rPr>
        <w:t>письмового</w:t>
      </w:r>
      <w:r>
        <w:rPr>
          <w:b/>
        </w:rPr>
        <w:t xml:space="preserve"> </w:t>
      </w:r>
      <w:r>
        <w:rPr>
          <w:b/>
          <w:u w:val="single" w:color="000000"/>
        </w:rPr>
        <w:t>повідомлення або за допомогою телефонного зв’язку</w:t>
      </w:r>
      <w:r>
        <w:rPr/>
        <w:t xml:space="preserve">. </w:t>
      </w:r>
    </w:p>
    <w:p>
      <w:pPr>
        <w:pStyle w:val="Normal"/>
        <w:spacing w:lineRule="auto" w:line="259" w:before="0" w:after="148"/>
        <w:ind w:left="-5" w:hanging="10"/>
        <w:jc w:val="left"/>
        <w:rPr/>
      </w:pPr>
      <w:r>
        <w:rPr>
          <w:sz w:val="20"/>
        </w:rPr>
        <w:t xml:space="preserve">              </w:t>
      </w:r>
      <w:r>
        <w:rPr>
          <w:sz w:val="20"/>
        </w:rPr>
        <w:t xml:space="preserve">(спосіб повідомлення зазначається виконавцем) </w:t>
      </w:r>
    </w:p>
    <w:p>
      <w:pPr>
        <w:pStyle w:val="Normal"/>
        <w:numPr>
          <w:ilvl w:val="0"/>
          <w:numId w:val="4"/>
        </w:numPr>
        <w:spacing w:before="0" w:after="316"/>
        <w:rPr/>
      </w:pPr>
      <w:r>
        <w:rPr/>
        <w:t xml:space="preserve">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 </w:t>
      </w:r>
    </w:p>
    <w:p>
      <w:pPr>
        <w:pStyle w:val="Normal"/>
        <w:spacing w:lineRule="auto" w:line="326" w:before="0" w:after="241"/>
        <w:ind w:left="3456" w:right="1234" w:hanging="1181"/>
        <w:rPr/>
      </w:pPr>
      <w:r>
        <w:rPr/>
        <w:t xml:space="preserve">Ціна та порядок оплати послуг, порядок та умови  внесення змін до договору  </w:t>
      </w:r>
    </w:p>
    <w:p>
      <w:pPr>
        <w:pStyle w:val="Normal"/>
        <w:numPr>
          <w:ilvl w:val="0"/>
          <w:numId w:val="4"/>
        </w:numPr>
        <w:spacing w:before="0" w:after="197"/>
        <w:rPr/>
      </w:pPr>
      <w:r>
        <w:rPr/>
        <w:t xml:space="preserve">Споживач вносить однією сумою плату виконавцю, яка складається з: </w:t>
      </w:r>
    </w:p>
    <w:p>
      <w:pPr>
        <w:pStyle w:val="Normal"/>
        <w:spacing w:before="0" w:after="24"/>
        <w:ind w:left="-15" w:firstLine="556"/>
        <w:rPr/>
      </w:pPr>
      <w:r>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 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виконавця на - </w:t>
      </w:r>
      <w:r>
        <w:rPr>
          <w:rFonts w:ascii="Georgia" w:hAnsi="Georgia"/>
          <w:b/>
          <w:bCs/>
          <w:szCs w:val="24"/>
          <w:u w:val="single"/>
          <w:lang w:val="en-US"/>
        </w:rPr>
        <w:t>abon</w:t>
      </w:r>
      <w:r>
        <w:rPr>
          <w:rFonts w:ascii="Georgia" w:hAnsi="Georgia"/>
          <w:b/>
          <w:bCs/>
          <w:szCs w:val="24"/>
          <w:u w:val="single"/>
        </w:rPr>
        <w:t>.</w:t>
      </w:r>
      <w:r>
        <w:rPr>
          <w:rFonts w:ascii="Georgia" w:hAnsi="Georgia"/>
          <w:b/>
          <w:bCs/>
          <w:szCs w:val="24"/>
          <w:u w:val="single"/>
          <w:lang w:val="en-US"/>
        </w:rPr>
        <w:t>com</w:t>
      </w:r>
      <w:r>
        <w:rPr>
          <w:rFonts w:ascii="Georgia" w:hAnsi="Georgia"/>
          <w:b/>
          <w:bCs/>
          <w:szCs w:val="24"/>
          <w:u w:val="single"/>
        </w:rPr>
        <w:t>.</w:t>
      </w:r>
      <w:r>
        <w:rPr>
          <w:rFonts w:ascii="Georgia" w:hAnsi="Georgia"/>
          <w:b/>
          <w:bCs/>
          <w:szCs w:val="24"/>
          <w:u w:val="single"/>
          <w:lang w:val="en-US"/>
        </w:rPr>
        <w:t>ua</w:t>
      </w:r>
      <w:r>
        <w:rPr/>
        <w:t xml:space="preserve">. </w:t>
      </w:r>
    </w:p>
    <w:p>
      <w:pPr>
        <w:pStyle w:val="Normal"/>
        <w:spacing w:lineRule="auto" w:line="259" w:before="0" w:after="148"/>
        <w:ind w:left="577" w:hanging="10"/>
        <w:jc w:val="left"/>
        <w:rPr/>
      </w:pPr>
      <w:r>
        <w:rPr>
          <w:sz w:val="20"/>
        </w:rPr>
        <w:t xml:space="preserve">                                                  </w:t>
      </w:r>
      <w:r>
        <w:rPr>
          <w:sz w:val="20"/>
        </w:rPr>
        <w:t xml:space="preserve">(посилання на веб-сайт) </w:t>
      </w:r>
    </w:p>
    <w:p>
      <w:pPr>
        <w:pStyle w:val="Normal"/>
        <w:numPr>
          <w:ilvl w:val="0"/>
          <w:numId w:val="4"/>
        </w:numPr>
        <w:spacing w:before="0" w:after="194"/>
        <w:rPr/>
      </w:pPr>
      <w:r>
        <w:rPr/>
        <w:t xml:space="preserve">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 </w:t>
      </w:r>
    </w:p>
    <w:p>
      <w:pPr>
        <w:pStyle w:val="Normal"/>
        <w:spacing w:lineRule="auto" w:line="324" w:before="0" w:after="0"/>
        <w:ind w:left="-15" w:firstLine="556"/>
        <w:rPr/>
      </w:pPr>
      <w:r>
        <w:rPr/>
        <w:t xml:space="preserve">Розмір зазначених тарифів зазначається на офіційному веб-сайті органу місцевого самоврядування та/або веб-сайті виконавця послуг </w:t>
      </w:r>
      <w:r>
        <w:rPr>
          <w:rFonts w:ascii="Georgia" w:hAnsi="Georgia"/>
          <w:b/>
          <w:bCs/>
          <w:szCs w:val="24"/>
          <w:u w:val="single"/>
          <w:lang w:val="en-US"/>
        </w:rPr>
        <w:t>abon</w:t>
      </w:r>
      <w:r>
        <w:rPr>
          <w:rFonts w:ascii="Georgia" w:hAnsi="Georgia"/>
          <w:b/>
          <w:bCs/>
          <w:szCs w:val="24"/>
          <w:u w:val="single"/>
        </w:rPr>
        <w:t>.</w:t>
      </w:r>
      <w:r>
        <w:rPr>
          <w:rFonts w:ascii="Georgia" w:hAnsi="Georgia"/>
          <w:b/>
          <w:bCs/>
          <w:szCs w:val="24"/>
          <w:u w:val="single"/>
          <w:lang w:val="en-US"/>
        </w:rPr>
        <w:t>com</w:t>
      </w:r>
      <w:r>
        <w:rPr>
          <w:rFonts w:ascii="Georgia" w:hAnsi="Georgia"/>
          <w:b/>
          <w:bCs/>
          <w:szCs w:val="24"/>
          <w:u w:val="single"/>
        </w:rPr>
        <w:t>.</w:t>
      </w:r>
      <w:r>
        <w:rPr>
          <w:rFonts w:ascii="Georgia" w:hAnsi="Georgia"/>
          <w:b/>
          <w:bCs/>
          <w:szCs w:val="24"/>
          <w:u w:val="single"/>
          <w:lang w:val="en-US"/>
        </w:rPr>
        <w:t>ua</w:t>
      </w:r>
      <w:r>
        <w:rPr>
          <w:sz w:val="20"/>
        </w:rPr>
        <w:t xml:space="preserve">                                                   (посилання на веб-сайт) </w:t>
      </w:r>
    </w:p>
    <w:p>
      <w:pPr>
        <w:pStyle w:val="Normal"/>
        <w:ind w:left="-15" w:firstLine="556"/>
        <w:rPr/>
      </w:pPr>
      <w:r>
        <w:rPr/>
        <w:t xml:space="preserve">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 </w:t>
      </w:r>
    </w:p>
    <w:p>
      <w:pPr>
        <w:pStyle w:val="Normal"/>
        <w:spacing w:before="0" w:after="190"/>
        <w:ind w:left="-15" w:firstLine="556"/>
        <w:rPr/>
      </w:pPr>
      <w:r>
        <w:rPr/>
        <w:t xml:space="preserve">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 </w:t>
      </w:r>
    </w:p>
    <w:p>
      <w:pPr>
        <w:pStyle w:val="Normal"/>
        <w:numPr>
          <w:ilvl w:val="0"/>
          <w:numId w:val="5"/>
        </w:numPr>
        <w:rPr/>
      </w:pPr>
      <w:r>
        <w:rPr/>
        <w:t xml:space="preserve">Розрахунковим періодом для оплати обсягу спожитих послуг є календарний місяць. </w:t>
      </w:r>
    </w:p>
    <w:p>
      <w:pPr>
        <w:pStyle w:val="Normal"/>
        <w:spacing w:lineRule="auto" w:line="264" w:before="0" w:after="112"/>
        <w:ind w:left="173" w:right="132" w:hanging="10"/>
        <w:jc w:val="center"/>
        <w:rPr/>
      </w:pPr>
      <w:r>
        <w:rPr/>
        <w:t xml:space="preserve">Плата за абонентське обслуговування та плата за послуги нараховується щомісяця. </w:t>
      </w:r>
    </w:p>
    <w:p>
      <w:pPr>
        <w:pStyle w:val="Normal"/>
        <w:ind w:left="-15" w:firstLine="556"/>
        <w:rPr/>
      </w:pPr>
      <w:r>
        <w:rPr/>
        <w:t xml:space="preserve">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 </w:t>
      </w:r>
    </w:p>
    <w:p>
      <w:pPr>
        <w:pStyle w:val="Normal"/>
        <w:numPr>
          <w:ilvl w:val="0"/>
          <w:numId w:val="5"/>
        </w:numPr>
        <w:rPr/>
      </w:pPr>
      <w:r>
        <w:rPr/>
        <w:t xml:space="preserve">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 </w:t>
      </w:r>
    </w:p>
    <w:p>
      <w:pPr>
        <w:pStyle w:val="Normal"/>
        <w:ind w:left="-15" w:firstLine="556"/>
        <w:rPr/>
      </w:pPr>
      <w:r>
        <w:rPr/>
        <w:t xml:space="preserve">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 </w:t>
      </w:r>
    </w:p>
    <w:p>
      <w:pPr>
        <w:pStyle w:val="Normal"/>
        <w:numPr>
          <w:ilvl w:val="0"/>
          <w:numId w:val="5"/>
        </w:numPr>
        <w:spacing w:lineRule="auto" w:line="316" w:before="0" w:after="49"/>
        <w:rPr/>
      </w:pPr>
      <w:r>
        <w:rPr/>
        <w:t xml:space="preserve">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 </w:t>
      </w:r>
    </w:p>
    <w:p>
      <w:pPr>
        <w:pStyle w:val="Normal"/>
        <w:numPr>
          <w:ilvl w:val="0"/>
          <w:numId w:val="5"/>
        </w:numPr>
        <w:rPr/>
      </w:pPr>
      <w:r>
        <w:rPr/>
        <w:t xml:space="preserve">За бажанням споживача оплата послуг може здійснюватися шляхом внесення авансових платежів. </w:t>
      </w:r>
    </w:p>
    <w:p>
      <w:pPr>
        <w:pStyle w:val="Normal"/>
        <w:numPr>
          <w:ilvl w:val="0"/>
          <w:numId w:val="5"/>
        </w:numPr>
        <w:rPr/>
      </w:pPr>
      <w:r>
        <w:rPr/>
        <w:t xml:space="preserve">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 </w:t>
      </w:r>
    </w:p>
    <w:p>
      <w:pPr>
        <w:pStyle w:val="Normal"/>
        <w:ind w:left="-15" w:firstLine="556"/>
        <w:rPr/>
      </w:pPr>
      <w:r>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 </w:t>
      </w:r>
    </w:p>
    <w:p>
      <w:pPr>
        <w:pStyle w:val="Normal"/>
        <w:numPr>
          <w:ilvl w:val="0"/>
          <w:numId w:val="5"/>
        </w:numPr>
        <w:spacing w:before="0" w:after="191"/>
        <w:jc w:val="both"/>
        <w:rPr/>
      </w:pPr>
      <w:r>
        <w:rPr>
          <w:lang w:val="uk-UA"/>
        </w:rPr>
        <w:t>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w:t>
      </w:r>
      <w:r>
        <w:rPr>
          <w:lang w:val="ru-RU"/>
        </w:rPr>
        <w:t xml:space="preserve"> </w:t>
      </w:r>
      <w:r>
        <w:rPr>
          <w:lang w:val="en-US"/>
        </w:rPr>
        <w:t xml:space="preserve">з </w:t>
      </w:r>
      <w:r>
        <w:rPr>
          <w:lang w:val="ru-RU"/>
        </w:rPr>
        <w:t>п</w:t>
      </w:r>
      <w:r>
        <w:rPr>
          <w:lang w:val="uk-UA"/>
        </w:rPr>
        <w:t>ризначенням  платежу,  за відсутності призначення платежу  у такому порядку:</w:t>
      </w:r>
    </w:p>
    <w:p>
      <w:pPr>
        <w:pStyle w:val="Normal"/>
        <w:tabs>
          <w:tab w:val="clear" w:pos="708"/>
          <w:tab w:val="left" w:pos="6120" w:leader="none"/>
        </w:tabs>
        <w:spacing w:lineRule="auto" w:line="427" w:before="0" w:after="0"/>
        <w:ind w:left="567" w:right="2515" w:hanging="0"/>
        <w:jc w:val="left"/>
        <w:rPr>
          <w:u w:val="none"/>
        </w:rPr>
      </w:pPr>
      <w:r>
        <w:rPr>
          <w:u w:val="none"/>
        </w:rPr>
        <w:t xml:space="preserve">у першучергу- </w:t>
      </w:r>
      <w:r>
        <w:rPr>
          <w:u w:val="none"/>
          <w:lang w:val="uk-UA"/>
        </w:rPr>
        <w:t>в рахунок плати за абонентське</w:t>
      </w:r>
      <w:r>
        <w:rPr>
          <w:u w:val="none"/>
          <w:lang w:val="ru-RU"/>
        </w:rPr>
        <w:t xml:space="preserve"> </w:t>
      </w:r>
      <w:r>
        <w:rPr>
          <w:u w:val="none"/>
          <w:lang w:val="uk-UA"/>
        </w:rPr>
        <w:t>обслуговування</w:t>
      </w:r>
      <w:r>
        <w:rPr>
          <w:u w:val="none"/>
        </w:rPr>
        <w:t xml:space="preserve">; </w:t>
      </w:r>
    </w:p>
    <w:p>
      <w:pPr>
        <w:pStyle w:val="Normal"/>
        <w:spacing w:lineRule="auto" w:line="427" w:before="0" w:after="0"/>
        <w:ind w:left="567" w:right="2515" w:hanging="0"/>
        <w:rPr/>
      </w:pPr>
      <w:r>
        <w:rPr/>
        <w:t>у другу черг</w:t>
      </w:r>
      <w:r>
        <w:rPr>
          <w:lang w:val="ru-RU"/>
        </w:rPr>
        <w:t>у</w:t>
      </w:r>
      <w:r>
        <w:rPr/>
        <w:t xml:space="preserve">- </w:t>
      </w:r>
      <w:r>
        <w:rPr>
          <w:u w:val="none"/>
          <w:lang w:val="uk-UA"/>
        </w:rPr>
        <w:t>в рахунок  плати за послуги.</w:t>
      </w:r>
      <w:r>
        <w:rPr/>
        <w:t xml:space="preserve"> </w:t>
      </w:r>
    </w:p>
    <w:p>
      <w:pPr>
        <w:pStyle w:val="Normal"/>
        <w:numPr>
          <w:ilvl w:val="0"/>
          <w:numId w:val="5"/>
        </w:numPr>
        <w:spacing w:before="0" w:after="186"/>
        <w:rPr/>
      </w:pPr>
      <w:r>
        <w:rPr/>
        <w:t xml:space="preserve">Споживач не звільняється від оплати послуг, отриманих ним до укладення цього договору. </w:t>
      </w:r>
    </w:p>
    <w:p>
      <w:pPr>
        <w:pStyle w:val="Normal"/>
        <w:numPr>
          <w:ilvl w:val="0"/>
          <w:numId w:val="5"/>
        </w:numPr>
        <w:spacing w:lineRule="auto" w:line="324" w:before="0" w:after="360"/>
        <w:rPr/>
      </w:pPr>
      <w:r>
        <w:rPr/>
        <w:t xml:space="preserve">Плата за послуги не нараховується за час перерв, визначених частиною першою статті 16 Закону України “Про житлово-комунальні послуги”. </w:t>
      </w:r>
    </w:p>
    <w:p>
      <w:pPr>
        <w:pStyle w:val="Normal"/>
        <w:spacing w:lineRule="auto" w:line="264" w:before="0" w:after="191"/>
        <w:ind w:left="173" w:right="171" w:hanging="10"/>
        <w:jc w:val="center"/>
        <w:rPr/>
      </w:pPr>
      <w:r>
        <w:rPr/>
        <w:t xml:space="preserve">Права і обов’язки сторін </w:t>
      </w:r>
    </w:p>
    <w:p>
      <w:pPr>
        <w:pStyle w:val="Normal"/>
        <w:numPr>
          <w:ilvl w:val="0"/>
          <w:numId w:val="5"/>
        </w:numPr>
        <w:rPr/>
      </w:pPr>
      <w:r>
        <w:rPr/>
        <w:t xml:space="preserve">Споживач має право: </w:t>
      </w:r>
    </w:p>
    <w:p>
      <w:pPr>
        <w:pStyle w:val="Normal"/>
        <w:numPr>
          <w:ilvl w:val="0"/>
          <w:numId w:val="6"/>
        </w:numPr>
        <w:rPr/>
      </w:pPr>
      <w:r>
        <w:rPr/>
        <w:t xml:space="preserve">одержувати своєчасно та належної якості послуги згідно із законодавством та умовами цього договору; </w:t>
      </w:r>
    </w:p>
    <w:p>
      <w:pPr>
        <w:pStyle w:val="Normal"/>
        <w:numPr>
          <w:ilvl w:val="0"/>
          <w:numId w:val="6"/>
        </w:numPr>
        <w:spacing w:before="0" w:after="54"/>
        <w:rPr/>
      </w:pPr>
      <w:r>
        <w:rPr/>
        <w:t xml:space="preserve">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w:t>
      </w:r>
    </w:p>
    <w:p>
      <w:pPr>
        <w:pStyle w:val="Normal"/>
        <w:ind w:left="-15" w:hanging="0"/>
        <w:rPr/>
      </w:pPr>
      <w:r>
        <w:rPr/>
        <w:t xml:space="preserve">України “Про доступ до публічної інформації”; </w:t>
      </w:r>
    </w:p>
    <w:p>
      <w:pPr>
        <w:pStyle w:val="Normal"/>
        <w:numPr>
          <w:ilvl w:val="0"/>
          <w:numId w:val="6"/>
        </w:numPr>
        <w:rPr/>
      </w:pPr>
      <w:r>
        <w:rPr/>
        <w:t xml:space="preserve">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 </w:t>
      </w:r>
    </w:p>
    <w:p>
      <w:pPr>
        <w:pStyle w:val="Normal"/>
        <w:numPr>
          <w:ilvl w:val="0"/>
          <w:numId w:val="6"/>
        </w:numPr>
        <w:rPr/>
      </w:pPr>
      <w:r>
        <w:rPr/>
        <w:t xml:space="preserve">на усунення протягом 50 годин, якщо інше не визначено законодавством, виявлених недоліків у наданні послуг; </w:t>
      </w:r>
    </w:p>
    <w:p>
      <w:pPr>
        <w:pStyle w:val="Normal"/>
        <w:numPr>
          <w:ilvl w:val="0"/>
          <w:numId w:val="6"/>
        </w:numPr>
        <w:spacing w:before="0" w:after="189"/>
        <w:rPr/>
      </w:pPr>
      <w:r>
        <w:rPr/>
        <w:t xml:space="preserve">на зменшення у встановленому законодавством порядку розміру плати за послуги у разі її ненадання, надання не в повному обсязі або належної якості; </w:t>
      </w:r>
    </w:p>
    <w:p>
      <w:pPr>
        <w:pStyle w:val="Normal"/>
        <w:numPr>
          <w:ilvl w:val="0"/>
          <w:numId w:val="6"/>
        </w:numPr>
        <w:spacing w:lineRule="auto" w:line="259" w:before="0" w:after="0"/>
        <w:rPr/>
      </w:pPr>
      <w:r>
        <w:rPr/>
        <w:t xml:space="preserve">отримувати </w:t>
        <w:tab/>
        <w:t xml:space="preserve">від </w:t>
        <w:tab/>
        <w:t xml:space="preserve">виконавця </w:t>
        <w:tab/>
        <w:t xml:space="preserve">неустойку </w:t>
        <w:tab/>
        <w:t xml:space="preserve">(штраф) </w:t>
        <w:tab/>
        <w:t xml:space="preserve">у </w:t>
        <w:tab/>
        <w:t xml:space="preserve">розмірі  </w:t>
      </w:r>
    </w:p>
    <w:p>
      <w:pPr>
        <w:pStyle w:val="Normal"/>
        <w:spacing w:before="0" w:after="192"/>
        <w:ind w:left="-15" w:hanging="0"/>
        <w:rPr/>
      </w:pPr>
      <w:r>
        <w:rPr/>
        <w:t xml:space="preserve">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 </w:t>
      </w:r>
    </w:p>
    <w:p>
      <w:pPr>
        <w:pStyle w:val="Normal"/>
        <w:numPr>
          <w:ilvl w:val="0"/>
          <w:numId w:val="6"/>
        </w:numPr>
        <w:spacing w:lineRule="auto" w:line="264" w:before="0" w:after="193"/>
        <w:rPr/>
      </w:pPr>
      <w:r>
        <w:rPr/>
        <w:t xml:space="preserve">на перевірку кількості та якості послуг в установленому законодавством порядку; </w:t>
      </w:r>
    </w:p>
    <w:p>
      <w:pPr>
        <w:pStyle w:val="Normal"/>
        <w:numPr>
          <w:ilvl w:val="0"/>
          <w:numId w:val="6"/>
        </w:numPr>
        <w:spacing w:lineRule="auto" w:line="326" w:before="0" w:after="38"/>
        <w:rPr/>
      </w:pPr>
      <w:r>
        <w:rPr/>
        <w:t xml:space="preserve">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 </w:t>
      </w:r>
    </w:p>
    <w:p>
      <w:pPr>
        <w:pStyle w:val="Normal"/>
        <w:numPr>
          <w:ilvl w:val="0"/>
          <w:numId w:val="6"/>
        </w:numPr>
        <w:rPr/>
      </w:pPr>
      <w:r>
        <w:rPr/>
        <w:t xml:space="preserve">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 </w:t>
      </w:r>
    </w:p>
    <w:p>
      <w:pPr>
        <w:pStyle w:val="Normal"/>
        <w:numPr>
          <w:ilvl w:val="0"/>
          <w:numId w:val="6"/>
        </w:numPr>
        <w:spacing w:before="0" w:after="196"/>
        <w:rPr/>
      </w:pPr>
      <w:r>
        <w:rPr/>
        <w:t xml:space="preserve">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 </w:t>
      </w:r>
    </w:p>
    <w:p>
      <w:pPr>
        <w:pStyle w:val="Normal"/>
        <w:numPr>
          <w:ilvl w:val="0"/>
          <w:numId w:val="6"/>
        </w:numPr>
        <w:spacing w:lineRule="auto" w:line="331"/>
        <w:rPr/>
      </w:pPr>
      <w:r>
        <w:rPr/>
        <w:t xml:space="preserve">на не оплату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12) звертатися до суду у разі порушення виконавцем умов цього договору. </w:t>
      </w:r>
    </w:p>
    <w:p>
      <w:pPr>
        <w:pStyle w:val="Normal"/>
        <w:ind w:left="567" w:hanging="0"/>
        <w:rPr/>
      </w:pPr>
      <w:r>
        <w:rPr/>
        <w:t xml:space="preserve">40. Споживач зобов’язаний: </w:t>
      </w:r>
    </w:p>
    <w:p>
      <w:pPr>
        <w:pStyle w:val="Normal"/>
        <w:numPr>
          <w:ilvl w:val="0"/>
          <w:numId w:val="7"/>
        </w:numPr>
        <w:rPr/>
      </w:pPr>
      <w:r>
        <w:rPr/>
        <w:t xml:space="preserve">своєчасно вживати заходів до усунення виявлених неполадок, пов’язаних з отриманням послуг, що виникли з його вини; </w:t>
      </w:r>
    </w:p>
    <w:p>
      <w:pPr>
        <w:pStyle w:val="Normal"/>
        <w:numPr>
          <w:ilvl w:val="0"/>
          <w:numId w:val="7"/>
        </w:numPr>
        <w:rPr/>
      </w:pPr>
      <w:r>
        <w:rPr/>
        <w:t xml:space="preserve">забезпечувати цілісність обладнання приладів (вузлів) обліку послуги відповідно до умов цього договору та не втручатися в їх роботу; </w:t>
      </w:r>
    </w:p>
    <w:p>
      <w:pPr>
        <w:pStyle w:val="Normal"/>
        <w:numPr>
          <w:ilvl w:val="0"/>
          <w:numId w:val="7"/>
        </w:numPr>
        <w:spacing w:lineRule="auto" w:line="316" w:before="0" w:after="132"/>
        <w:rPr/>
      </w:pPr>
      <w:r>
        <w:rPr/>
        <w:t xml:space="preserve">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 </w:t>
      </w:r>
    </w:p>
    <w:p>
      <w:pPr>
        <w:pStyle w:val="Normal"/>
        <w:numPr>
          <w:ilvl w:val="0"/>
          <w:numId w:val="7"/>
        </w:numPr>
        <w:rPr/>
      </w:pPr>
      <w:r>
        <w:rPr/>
        <w:t xml:space="preserve">дотримуватися правил безпеки, зокрема пожежної та газової, санітарних норм; </w:t>
      </w:r>
    </w:p>
    <w:p>
      <w:pPr>
        <w:pStyle w:val="Normal"/>
        <w:numPr>
          <w:ilvl w:val="0"/>
          <w:numId w:val="7"/>
        </w:numPr>
        <w:rPr/>
      </w:pPr>
      <w:r>
        <w:rPr/>
        <w:t xml:space="preserve">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 </w:t>
      </w:r>
    </w:p>
    <w:p>
      <w:pPr>
        <w:pStyle w:val="Normal"/>
        <w:numPr>
          <w:ilvl w:val="0"/>
          <w:numId w:val="7"/>
        </w:numPr>
        <w:rPr/>
      </w:pPr>
      <w:r>
        <w:rPr/>
        <w:t xml:space="preserve">сплачувати у разі несвоєчасного здійснення платежів за спожиті послуги пеню в розмірах, установлених цим договором; </w:t>
      </w:r>
    </w:p>
    <w:p>
      <w:pPr>
        <w:pStyle w:val="Normal"/>
        <w:numPr>
          <w:ilvl w:val="0"/>
          <w:numId w:val="7"/>
        </w:numPr>
        <w:spacing w:before="0" w:after="194"/>
        <w:rPr/>
      </w:pPr>
      <w:r>
        <w:rPr/>
        <w:t xml:space="preserve">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 </w:t>
      </w:r>
    </w:p>
    <w:p>
      <w:pPr>
        <w:pStyle w:val="Normal"/>
        <w:numPr>
          <w:ilvl w:val="0"/>
          <w:numId w:val="7"/>
        </w:numPr>
        <w:spacing w:lineRule="auto" w:line="326" w:before="0" w:after="38"/>
        <w:rPr/>
      </w:pPr>
      <w:r>
        <w:rPr/>
        <w:t xml:space="preserve">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 </w:t>
      </w:r>
    </w:p>
    <w:p>
      <w:pPr>
        <w:pStyle w:val="Normal"/>
        <w:numPr>
          <w:ilvl w:val="0"/>
          <w:numId w:val="7"/>
        </w:numPr>
        <w:spacing w:before="0" w:after="36"/>
        <w:rPr/>
      </w:pPr>
      <w:r>
        <w:rPr/>
        <w:t xml:space="preserve">дотримуватися вимог житлового та містобудівного законодавства (не допускати втручання у внутрішньобудинкові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 </w:t>
      </w:r>
    </w:p>
    <w:p>
      <w:pPr>
        <w:pStyle w:val="Normal"/>
        <w:numPr>
          <w:ilvl w:val="0"/>
          <w:numId w:val="7"/>
        </w:numPr>
        <w:spacing w:before="0" w:after="188"/>
        <w:rPr/>
      </w:pPr>
      <w:r>
        <w:rPr/>
        <w:t xml:space="preserve">забезпечити своєчасну підготовку об’єктів, що перебувають у його власності (користуванні), до експлуатації в осінньо-зимовий період. </w:t>
      </w:r>
    </w:p>
    <w:p>
      <w:pPr>
        <w:pStyle w:val="Normal"/>
        <w:ind w:left="567" w:hanging="0"/>
        <w:rPr/>
      </w:pPr>
      <w:r>
        <w:rPr/>
        <w:t xml:space="preserve">41. Виконавець має право: </w:t>
      </w:r>
    </w:p>
    <w:p>
      <w:pPr>
        <w:pStyle w:val="Normal"/>
        <w:numPr>
          <w:ilvl w:val="0"/>
          <w:numId w:val="8"/>
        </w:numPr>
        <w:spacing w:lineRule="auto" w:line="316" w:before="0" w:after="49"/>
        <w:rPr/>
      </w:pPr>
      <w:r>
        <w:rPr/>
        <w:t xml:space="preserve">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 </w:t>
      </w:r>
    </w:p>
    <w:p>
      <w:pPr>
        <w:pStyle w:val="Normal"/>
        <w:numPr>
          <w:ilvl w:val="0"/>
          <w:numId w:val="8"/>
        </w:numPr>
        <w:rPr/>
      </w:pPr>
      <w:r>
        <w:rPr/>
        <w:t xml:space="preserve">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 </w:t>
      </w:r>
    </w:p>
    <w:p>
      <w:pPr>
        <w:pStyle w:val="Normal"/>
        <w:numPr>
          <w:ilvl w:val="0"/>
          <w:numId w:val="8"/>
        </w:numPr>
        <w:rPr/>
      </w:pPr>
      <w:r>
        <w:rPr/>
        <w:t xml:space="preserve">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 </w:t>
      </w:r>
    </w:p>
    <w:p>
      <w:pPr>
        <w:pStyle w:val="Normal"/>
        <w:numPr>
          <w:ilvl w:val="0"/>
          <w:numId w:val="8"/>
        </w:numPr>
        <w:spacing w:before="0" w:after="191"/>
        <w:rPr/>
      </w:pPr>
      <w:r>
        <w:rPr/>
        <w:t xml:space="preserve">обмежити (припинити) надання послуг в разі їх неоплати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 </w:t>
      </w:r>
    </w:p>
    <w:p>
      <w:pPr>
        <w:pStyle w:val="Normal"/>
        <w:numPr>
          <w:ilvl w:val="0"/>
          <w:numId w:val="8"/>
        </w:numPr>
        <w:spacing w:before="0" w:after="196"/>
        <w:rPr/>
      </w:pPr>
      <w:r>
        <w:rPr/>
        <w:t xml:space="preserve">звертатися до суду в разі порушення споживачем умов цього договору. </w:t>
      </w:r>
    </w:p>
    <w:p>
      <w:pPr>
        <w:pStyle w:val="Normal"/>
        <w:ind w:left="567" w:hanging="0"/>
        <w:rPr/>
      </w:pPr>
      <w:r>
        <w:rPr/>
        <w:t xml:space="preserve">42. Виконавець зобов’язаний: </w:t>
      </w:r>
    </w:p>
    <w:p>
      <w:pPr>
        <w:pStyle w:val="Normal"/>
        <w:numPr>
          <w:ilvl w:val="0"/>
          <w:numId w:val="9"/>
        </w:numPr>
        <w:rPr/>
      </w:pPr>
      <w:r>
        <w:rPr/>
        <w:t xml:space="preserve">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 </w:t>
      </w:r>
    </w:p>
    <w:p>
      <w:pPr>
        <w:pStyle w:val="Normal"/>
        <w:numPr>
          <w:ilvl w:val="0"/>
          <w:numId w:val="9"/>
        </w:numPr>
        <w:spacing w:lineRule="auto" w:line="343" w:before="0" w:after="141"/>
        <w:rPr/>
      </w:pPr>
      <w:r>
        <w:rPr/>
        <w:t xml:space="preserve">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 </w:t>
      </w:r>
    </w:p>
    <w:p>
      <w:pPr>
        <w:pStyle w:val="Normal"/>
        <w:numPr>
          <w:ilvl w:val="0"/>
          <w:numId w:val="9"/>
        </w:numPr>
        <w:spacing w:before="0" w:after="312"/>
        <w:rPr/>
      </w:pPr>
      <w:r>
        <w:rPr/>
        <w:t xml:space="preserve">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 </w:t>
      </w:r>
    </w:p>
    <w:p>
      <w:pPr>
        <w:pStyle w:val="Normal"/>
        <w:numPr>
          <w:ilvl w:val="0"/>
          <w:numId w:val="9"/>
        </w:numPr>
        <w:spacing w:before="0" w:after="317"/>
        <w:rPr/>
      </w:pPr>
      <w:r>
        <w:rPr/>
        <w:t xml:space="preserve">подавати воду для протипожежних потреб; </w:t>
      </w:r>
    </w:p>
    <w:p>
      <w:pPr>
        <w:pStyle w:val="Normal"/>
        <w:numPr>
          <w:ilvl w:val="0"/>
          <w:numId w:val="9"/>
        </w:numPr>
        <w:rPr/>
      </w:pPr>
      <w:r>
        <w:rPr/>
        <w:t xml:space="preserve">забезпечити надійне постачання послуг відповідно до умов цього договору; </w:t>
      </w:r>
    </w:p>
    <w:p>
      <w:pPr>
        <w:pStyle w:val="Normal"/>
        <w:numPr>
          <w:ilvl w:val="0"/>
          <w:numId w:val="9"/>
        </w:numPr>
        <w:rPr/>
      </w:pPr>
      <w:r>
        <w:rPr/>
        <w:t xml:space="preserve">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 </w:t>
      </w:r>
    </w:p>
    <w:p>
      <w:pPr>
        <w:pStyle w:val="Normal"/>
        <w:numPr>
          <w:ilvl w:val="0"/>
          <w:numId w:val="9"/>
        </w:numPr>
        <w:rPr/>
      </w:pPr>
      <w:r>
        <w:rPr/>
        <w:t xml:space="preserve">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 </w:t>
      </w:r>
    </w:p>
    <w:p>
      <w:pPr>
        <w:pStyle w:val="Normal"/>
        <w:numPr>
          <w:ilvl w:val="0"/>
          <w:numId w:val="9"/>
        </w:numPr>
        <w:rPr/>
      </w:pPr>
      <w:r>
        <w:rPr/>
        <w:t xml:space="preserve">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 </w:t>
      </w:r>
    </w:p>
    <w:p>
      <w:pPr>
        <w:pStyle w:val="Normal"/>
        <w:numPr>
          <w:ilvl w:val="0"/>
          <w:numId w:val="9"/>
        </w:numPr>
        <w:rPr/>
      </w:pPr>
      <w:r>
        <w:rPr/>
        <w:t xml:space="preserve">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 </w:t>
      </w:r>
    </w:p>
    <w:p>
      <w:pPr>
        <w:pStyle w:val="Normal"/>
        <w:numPr>
          <w:ilvl w:val="0"/>
          <w:numId w:val="9"/>
        </w:numPr>
        <w:spacing w:lineRule="auto" w:line="326" w:before="0" w:after="120"/>
        <w:rPr/>
      </w:pPr>
      <w:r>
        <w:rPr/>
        <w:t xml:space="preserve">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 </w:t>
      </w:r>
    </w:p>
    <w:p>
      <w:pPr>
        <w:pStyle w:val="Normal"/>
        <w:numPr>
          <w:ilvl w:val="0"/>
          <w:numId w:val="9"/>
        </w:numPr>
        <w:spacing w:lineRule="auto" w:line="326" w:before="0" w:after="37"/>
        <w:rPr/>
      </w:pPr>
      <w:r>
        <w:rPr/>
        <w:t xml:space="preserve">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 </w:t>
      </w:r>
    </w:p>
    <w:p>
      <w:pPr>
        <w:pStyle w:val="Normal"/>
        <w:numPr>
          <w:ilvl w:val="0"/>
          <w:numId w:val="9"/>
        </w:numPr>
        <w:spacing w:before="0" w:after="186"/>
        <w:rPr/>
      </w:pPr>
      <w:r>
        <w:rPr/>
        <w:t xml:space="preserve">своєчасно та за власний рахунок проводити роботи з усунення виявлених неполадок, пов’язаних з наданням послуг, що виникли з його вини; </w:t>
      </w:r>
    </w:p>
    <w:p>
      <w:pPr>
        <w:pStyle w:val="Normal"/>
        <w:numPr>
          <w:ilvl w:val="0"/>
          <w:numId w:val="9"/>
        </w:numPr>
        <w:spacing w:lineRule="auto" w:line="324" w:before="0" w:after="40"/>
        <w:rPr/>
      </w:pPr>
      <w:r>
        <w:rPr>
          <w:color w:val="2F2F2F"/>
        </w:rPr>
        <w:t>інформувати споживачів про намір зміни цін/тарифів на комунальні послуги відповідно до законодавства</w:t>
      </w:r>
      <w:r>
        <w:rPr/>
        <w:t xml:space="preserve">; </w:t>
      </w:r>
    </w:p>
    <w:p>
      <w:pPr>
        <w:pStyle w:val="Normal"/>
        <w:numPr>
          <w:ilvl w:val="0"/>
          <w:numId w:val="9"/>
        </w:numPr>
        <w:rPr/>
      </w:pPr>
      <w:r>
        <w:rPr/>
        <w:t xml:space="preserve">здійснювати розподіл загальнобудинкового обсягу послуг між співвласниками багатоквартирного будинку в порядку, передбаченому законодавством та цим договором; </w:t>
      </w:r>
    </w:p>
    <w:p>
      <w:pPr>
        <w:pStyle w:val="Normal"/>
        <w:numPr>
          <w:ilvl w:val="0"/>
          <w:numId w:val="9"/>
        </w:numPr>
        <w:rPr/>
      </w:pPr>
      <w:r>
        <w:rPr/>
        <w:t xml:space="preserve">контролювати дотримання установлених міжповірочних інтервалів для засобів вимірювальної техніки, які є складовою частиною вузла комерційного та розподільного обліку; </w:t>
      </w:r>
    </w:p>
    <w:p>
      <w:pPr>
        <w:pStyle w:val="Normal"/>
        <w:numPr>
          <w:ilvl w:val="0"/>
          <w:numId w:val="9"/>
        </w:numPr>
        <w:rPr/>
      </w:pPr>
      <w:r>
        <w:rPr/>
        <w:t xml:space="preserve">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 </w:t>
      </w:r>
    </w:p>
    <w:p>
      <w:pPr>
        <w:pStyle w:val="Normal"/>
        <w:numPr>
          <w:ilvl w:val="0"/>
          <w:numId w:val="9"/>
        </w:numPr>
        <w:spacing w:before="0" w:after="348"/>
        <w:rPr/>
      </w:pPr>
      <w:r>
        <w:rPr/>
        <w:t xml:space="preserve">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 </w:t>
      </w:r>
    </w:p>
    <w:p>
      <w:pPr>
        <w:pStyle w:val="Normal"/>
        <w:spacing w:lineRule="auto" w:line="264" w:before="0" w:after="112"/>
        <w:ind w:left="173" w:right="170" w:hanging="10"/>
        <w:jc w:val="center"/>
        <w:rPr/>
      </w:pPr>
      <w:r>
        <w:rPr/>
        <w:t xml:space="preserve">Відповідальність сторін за порушення договору </w:t>
      </w:r>
    </w:p>
    <w:p>
      <w:pPr>
        <w:pStyle w:val="Normal"/>
        <w:numPr>
          <w:ilvl w:val="0"/>
          <w:numId w:val="10"/>
        </w:numPr>
        <w:rPr/>
      </w:pPr>
      <w:r>
        <w:rPr/>
        <w:t xml:space="preserve">Сторони несуть відповідальність за невиконання умов цього договору відповідно до цього договору або закону. </w:t>
      </w:r>
    </w:p>
    <w:p>
      <w:pPr>
        <w:pStyle w:val="Normal"/>
        <w:numPr>
          <w:ilvl w:val="0"/>
          <w:numId w:val="10"/>
        </w:numPr>
        <w:spacing w:before="0" w:after="195"/>
        <w:rPr/>
      </w:pPr>
      <w:r>
        <w:rPr/>
        <w:t xml:space="preserve">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 </w:t>
      </w:r>
    </w:p>
    <w:p>
      <w:pPr>
        <w:pStyle w:val="Normal"/>
        <w:spacing w:lineRule="auto" w:line="326" w:before="0" w:after="38"/>
        <w:ind w:left="-15" w:firstLine="556"/>
        <w:rPr/>
      </w:pPr>
      <w:r>
        <w:rPr/>
        <w:t xml:space="preserve">Нарахування пені починається з першого робочого дня, що настає за останнім днем граничного строку внесення плати за послуги. </w:t>
      </w:r>
    </w:p>
    <w:p>
      <w:pPr>
        <w:pStyle w:val="Normal"/>
        <w:ind w:left="-15" w:firstLine="556"/>
        <w:rPr/>
      </w:pPr>
      <w:r>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pPr>
        <w:pStyle w:val="Normal"/>
        <w:numPr>
          <w:ilvl w:val="0"/>
          <w:numId w:val="10"/>
        </w:numPr>
        <w:rPr/>
      </w:pPr>
      <w:r>
        <w:rPr/>
        <w:t xml:space="preserve">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pPr>
        <w:pStyle w:val="Normal"/>
        <w:ind w:left="-15" w:firstLine="556"/>
        <w:rPr/>
      </w:pPr>
      <w:r>
        <w:rPr/>
        <w:t xml:space="preserve">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 </w:t>
      </w:r>
    </w:p>
    <w:p>
      <w:pPr>
        <w:pStyle w:val="Normal"/>
        <w:ind w:left="-15" w:firstLine="556"/>
        <w:rPr/>
      </w:pPr>
      <w:r>
        <w:rPr/>
        <w:t xml:space="preserve">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 </w:t>
      </w:r>
    </w:p>
    <w:p>
      <w:pPr>
        <w:pStyle w:val="Normal"/>
        <w:spacing w:lineRule="auto" w:line="316" w:before="0" w:after="49"/>
        <w:ind w:left="-15" w:firstLine="556"/>
        <w:rPr/>
      </w:pPr>
      <w:r>
        <w:rPr/>
        <w:t xml:space="preserve">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 </w:t>
      </w:r>
    </w:p>
    <w:p>
      <w:pPr>
        <w:pStyle w:val="Normal"/>
        <w:numPr>
          <w:ilvl w:val="0"/>
          <w:numId w:val="10"/>
        </w:numPr>
        <w:rPr/>
      </w:pPr>
      <w:r>
        <w:rPr/>
        <w:t xml:space="preserve">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 </w:t>
      </w:r>
    </w:p>
    <w:p>
      <w:pPr>
        <w:pStyle w:val="Normal"/>
        <w:spacing w:before="0" w:after="81"/>
        <w:ind w:left="-15" w:firstLine="556"/>
        <w:rPr/>
      </w:pPr>
      <w:r>
        <w:rPr/>
        <w:t xml:space="preserve">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 </w:t>
      </w:r>
    </w:p>
    <w:p>
      <w:pPr>
        <w:pStyle w:val="Normal"/>
        <w:numPr>
          <w:ilvl w:val="0"/>
          <w:numId w:val="10"/>
        </w:numPr>
        <w:spacing w:before="0" w:after="79"/>
        <w:rPr/>
      </w:pPr>
      <w:r>
        <w:rPr/>
        <w:t xml:space="preserve">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 </w:t>
      </w:r>
    </w:p>
    <w:p>
      <w:pPr>
        <w:pStyle w:val="Normal"/>
        <w:numPr>
          <w:ilvl w:val="0"/>
          <w:numId w:val="10"/>
        </w:numPr>
        <w:spacing w:before="0" w:after="77"/>
        <w:rPr/>
      </w:pPr>
      <w:r>
        <w:rPr/>
        <w:t xml:space="preserve">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 </w:t>
      </w:r>
    </w:p>
    <w:p>
      <w:pPr>
        <w:pStyle w:val="Normal"/>
        <w:spacing w:before="0" w:after="64"/>
        <w:ind w:left="-15" w:firstLine="556"/>
        <w:rPr/>
      </w:pPr>
      <w:r>
        <w:rPr/>
        <w:t xml:space="preserve">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w:t>
      </w:r>
    </w:p>
    <w:p>
      <w:pPr>
        <w:pStyle w:val="Normal"/>
        <w:spacing w:before="0" w:after="81"/>
        <w:ind w:left="-15" w:hanging="0"/>
        <w:rPr/>
      </w:pPr>
      <w:r>
        <w:rPr/>
        <w:t xml:space="preserve">27 грудня 2018 р. № 1145 (Офіційний вісник України, 2019 р., № 4, ст. 133). </w:t>
      </w:r>
    </w:p>
    <w:p>
      <w:pPr>
        <w:pStyle w:val="Normal"/>
        <w:spacing w:before="0" w:after="78"/>
        <w:ind w:left="-15" w:firstLine="556"/>
        <w:rPr/>
      </w:pPr>
      <w:r>
        <w:rPr/>
        <w:t xml:space="preserve">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 </w:t>
      </w:r>
    </w:p>
    <w:p>
      <w:pPr>
        <w:pStyle w:val="Normal"/>
        <w:numPr>
          <w:ilvl w:val="0"/>
          <w:numId w:val="11"/>
        </w:numPr>
        <w:spacing w:before="0" w:after="161"/>
        <w:rPr/>
      </w:pPr>
      <w:r>
        <w:rPr/>
        <w:t xml:space="preserve">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 </w:t>
      </w:r>
    </w:p>
    <w:p>
      <w:pPr>
        <w:pStyle w:val="Normal"/>
        <w:spacing w:before="0" w:after="300"/>
        <w:ind w:left="-15" w:firstLine="556"/>
        <w:rPr/>
      </w:pPr>
      <w:r>
        <w:rPr/>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 </w:t>
      </w:r>
    </w:p>
    <w:p>
      <w:pPr>
        <w:pStyle w:val="Normal"/>
        <w:spacing w:lineRule="auto" w:line="264" w:before="0" w:after="87"/>
        <w:ind w:left="1048" w:right="985" w:hanging="10"/>
        <w:jc w:val="center"/>
        <w:rPr/>
      </w:pPr>
      <w:r>
        <w:rPr/>
        <w:t xml:space="preserve">Строк дії договору, порядок і умови внесення до нього змін, продовження строку його дії та розірвання </w:t>
      </w:r>
    </w:p>
    <w:p>
      <w:pPr>
        <w:pStyle w:val="Normal"/>
        <w:numPr>
          <w:ilvl w:val="0"/>
          <w:numId w:val="11"/>
        </w:numPr>
        <w:rPr/>
      </w:pPr>
      <w:r>
        <w:rPr/>
        <w:t xml:space="preserve">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 </w:t>
      </w:r>
    </w:p>
    <w:p>
      <w:pPr>
        <w:pStyle w:val="Normal"/>
        <w:numPr>
          <w:ilvl w:val="0"/>
          <w:numId w:val="11"/>
        </w:numPr>
        <w:rPr/>
      </w:pPr>
      <w:r>
        <w:rPr/>
        <w:t xml:space="preserve">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 </w:t>
      </w:r>
    </w:p>
    <w:p>
      <w:pPr>
        <w:pStyle w:val="Normal"/>
        <w:numPr>
          <w:ilvl w:val="0"/>
          <w:numId w:val="11"/>
        </w:numPr>
        <w:spacing w:lineRule="auto" w:line="316" w:before="0" w:after="49"/>
        <w:rPr/>
      </w:pPr>
      <w:r>
        <w:rPr/>
        <w:t xml:space="preserve">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 </w:t>
      </w:r>
    </w:p>
    <w:p>
      <w:pPr>
        <w:pStyle w:val="Normal"/>
        <w:numPr>
          <w:ilvl w:val="0"/>
          <w:numId w:val="11"/>
        </w:numPr>
        <w:spacing w:before="0" w:after="278"/>
        <w:rPr/>
      </w:pPr>
      <w:r>
        <w:rPr/>
        <w:t xml:space="preserve">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 </w:t>
      </w:r>
    </w:p>
    <w:p>
      <w:pPr>
        <w:pStyle w:val="Normal"/>
        <w:spacing w:lineRule="auto" w:line="264" w:before="0" w:after="112"/>
        <w:ind w:left="173" w:right="168" w:hanging="10"/>
        <w:jc w:val="center"/>
        <w:rPr/>
      </w:pPr>
      <w:r>
        <w:rPr/>
        <w:t xml:space="preserve">Прикінцеві положення </w:t>
      </w:r>
    </w:p>
    <w:p>
      <w:pPr>
        <w:pStyle w:val="Normal"/>
        <w:numPr>
          <w:ilvl w:val="0"/>
          <w:numId w:val="11"/>
        </w:numPr>
        <w:spacing w:lineRule="auto" w:line="367" w:before="0" w:after="9"/>
        <w:rPr/>
      </w:pPr>
      <w:r>
        <w:rPr/>
        <w:t xml:space="preserve">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 Реквізити виконавця .  Виконавець: </w:t>
      </w:r>
    </w:p>
    <w:p>
      <w:pPr>
        <w:pStyle w:val="Normal"/>
        <w:spacing w:lineRule="auto" w:line="259" w:before="0" w:after="26"/>
        <w:ind w:left="675" w:hanging="0"/>
        <w:jc w:val="left"/>
        <w:rPr/>
      </w:pPr>
      <w:r>
        <w:rPr>
          <w:sz w:val="28"/>
        </w:rPr>
        <w:t xml:space="preserve"> </w:t>
      </w:r>
    </w:p>
    <w:p>
      <w:pPr>
        <w:pStyle w:val="Normal"/>
        <w:spacing w:lineRule="auto" w:line="264" w:before="0" w:after="0"/>
        <w:ind w:left="118" w:hanging="10"/>
        <w:jc w:val="left"/>
        <w:rPr/>
      </w:pPr>
      <w:r>
        <w:rPr>
          <w:b/>
        </w:rPr>
        <w:t>Буське підприємство водопрвідно-каналізаційного господарства</w:t>
      </w:r>
    </w:p>
    <w:p>
      <w:pPr>
        <w:pStyle w:val="Normal"/>
        <w:spacing w:lineRule="auto" w:line="259" w:before="0" w:after="57"/>
        <w:ind w:left="108" w:hanging="0"/>
        <w:jc w:val="left"/>
        <w:rPr/>
      </w:pPr>
      <w:r>
        <w:rPr/>
        <w:t xml:space="preserve"> </w:t>
      </w:r>
    </w:p>
    <w:p>
      <w:pPr>
        <w:pStyle w:val="Normal"/>
        <w:spacing w:lineRule="auto" w:line="324" w:before="0" w:after="2"/>
        <w:ind w:left="108" w:right="4200" w:hanging="0"/>
        <w:rPr/>
      </w:pPr>
      <w:r>
        <w:rPr/>
        <w:t xml:space="preserve">код згідно з ЄДРПОУ 20827575 , місцезнаходження:  </w:t>
      </w:r>
    </w:p>
    <w:p>
      <w:pPr>
        <w:pStyle w:val="Normal"/>
        <w:spacing w:lineRule="auto" w:line="326" w:before="0" w:after="0"/>
        <w:ind w:left="103" w:right="1855" w:hanging="10"/>
        <w:jc w:val="left"/>
        <w:rPr/>
      </w:pPr>
      <w:r>
        <w:rPr/>
        <w:t xml:space="preserve">80500, Львівська обл., Золочівський  район, м. Буськ , вул. пл. Ринок , 2         р/р UA833253650000002600101087584, в АТ Кредобанк                             ІПН № 208275713152 контакти для передачі показань вузлів обліку:  </w:t>
      </w:r>
    </w:p>
    <w:p>
      <w:pPr>
        <w:pStyle w:val="Normal"/>
        <w:spacing w:lineRule="auto" w:line="288" w:before="0" w:after="41"/>
        <w:ind w:left="103" w:right="2438" w:hanging="10"/>
        <w:jc w:val="left"/>
        <w:rPr/>
      </w:pPr>
      <w:r>
        <w:rPr/>
        <w:t xml:space="preserve">(0986281402); (0981277564); (0970978760)                                               номер телефону (03264) 2-16-63;3-02-94 </w:t>
      </w:r>
    </w:p>
    <w:p>
      <w:pPr>
        <w:pStyle w:val="Normal"/>
        <w:spacing w:before="0" w:after="41"/>
        <w:ind w:left="108" w:right="1056" w:hanging="0"/>
        <w:rPr/>
      </w:pPr>
      <w:r>
        <w:rPr/>
        <w:t xml:space="preserve">адреса електронної пошти </w:t>
      </w:r>
      <w:hyperlink r:id="rId2">
        <w:r>
          <w:rPr>
            <w:rStyle w:val="Style14"/>
            <w:lang w:val="en-US"/>
          </w:rPr>
          <w:t>buskvodokanal</w:t>
        </w:r>
        <w:r>
          <w:rPr>
            <w:rStyle w:val="Style14"/>
          </w:rPr>
          <w:t>@</w:t>
        </w:r>
        <w:r>
          <w:rPr>
            <w:rStyle w:val="Style14"/>
            <w:lang w:val="en-US"/>
          </w:rPr>
          <w:t>gmail</w:t>
        </w:r>
        <w:r>
          <w:rPr>
            <w:rStyle w:val="Style14"/>
          </w:rPr>
          <w:t>.</w:t>
        </w:r>
        <w:r>
          <w:rPr>
            <w:rStyle w:val="Style14"/>
            <w:lang w:val="en-US"/>
          </w:rPr>
          <w:t>com</w:t>
        </w:r>
      </w:hyperlink>
      <w:r>
        <w:rPr/>
        <w:t xml:space="preserve"> </w:t>
      </w:r>
      <w:hyperlink r:id="rId3">
        <w:r>
          <w:rPr>
            <w:rStyle w:val="Style14"/>
            <w:lang w:val="en-US"/>
          </w:rPr>
          <w:t>buskvodokanal</w:t>
        </w:r>
        <w:r>
          <w:rPr>
            <w:rStyle w:val="Style14"/>
            <w:lang w:val="ru-RU"/>
          </w:rPr>
          <w:t>@</w:t>
        </w:r>
        <w:r>
          <w:rPr>
            <w:rStyle w:val="Style14"/>
            <w:lang w:val="en-US"/>
          </w:rPr>
          <w:t>ukr</w:t>
        </w:r>
        <w:r>
          <w:rPr>
            <w:rStyle w:val="Style14"/>
            <w:lang w:val="ru-RU"/>
          </w:rPr>
          <w:t>.</w:t>
        </w:r>
        <w:r>
          <w:rPr>
            <w:rStyle w:val="Style14"/>
            <w:lang w:val="en-US"/>
          </w:rPr>
          <w:t>net</w:t>
        </w:r>
      </w:hyperlink>
      <w:r>
        <w:rPr>
          <w:lang w:val="ru-RU"/>
        </w:rPr>
        <w:t xml:space="preserve"> </w:t>
      </w:r>
      <w:r>
        <w:rPr/>
        <w:t xml:space="preserve">  </w:t>
      </w:r>
    </w:p>
    <w:p>
      <w:pPr>
        <w:pStyle w:val="Normal"/>
        <w:spacing w:lineRule="auto" w:line="259" w:before="0" w:after="0"/>
        <w:ind w:left="108" w:hanging="0"/>
        <w:jc w:val="left"/>
        <w:rPr/>
      </w:pPr>
      <w:r>
        <w:rPr>
          <w:b/>
        </w:rPr>
        <w:t xml:space="preserve"> </w:t>
      </w:r>
    </w:p>
    <w:p>
      <w:pPr>
        <w:pStyle w:val="Normal"/>
        <w:spacing w:lineRule="auto" w:line="259" w:before="0" w:after="0"/>
        <w:ind w:left="108" w:hanging="0"/>
        <w:jc w:val="left"/>
        <w:rPr/>
      </w:pPr>
      <w:r>
        <w:rPr>
          <w:b/>
        </w:rPr>
        <w:t xml:space="preserve"> </w:t>
      </w:r>
    </w:p>
    <w:p>
      <w:pPr>
        <w:pStyle w:val="Normal"/>
        <w:spacing w:lineRule="auto" w:line="259" w:before="0" w:after="68"/>
        <w:ind w:left="108" w:hanging="0"/>
        <w:jc w:val="left"/>
        <w:rPr/>
      </w:pPr>
      <w:r>
        <w:rPr>
          <w:b/>
        </w:rPr>
        <w:t xml:space="preserve"> </w:t>
      </w:r>
    </w:p>
    <w:p>
      <w:pPr>
        <w:pStyle w:val="Normal"/>
        <w:spacing w:lineRule="auto" w:line="264" w:before="0" w:after="1665"/>
        <w:ind w:left="118" w:hanging="10"/>
        <w:jc w:val="left"/>
        <w:rPr/>
      </w:pPr>
      <w:r>
        <w:rPr>
          <w:b/>
        </w:rPr>
        <w:t>Начальник Буського ПВКГ           ___________________                       В.В.Бучко</w:t>
      </w:r>
    </w:p>
    <w:p>
      <w:pPr>
        <w:pStyle w:val="Normal"/>
        <w:spacing w:lineRule="auto" w:line="259" w:before="0" w:after="197"/>
        <w:ind w:left="0" w:hanging="0"/>
        <w:jc w:val="left"/>
        <w:rPr/>
      </w:pPr>
      <w:r>
        <w:rPr>
          <w:sz w:val="22"/>
        </w:rPr>
        <w:t xml:space="preserve"> </w:t>
      </w:r>
      <w:r>
        <w:rPr/>
        <w:t xml:space="preserve">                                                                                                           </w:t>
      </w:r>
      <w:r>
        <w:rPr/>
        <w:t xml:space="preserve">Додаток </w:t>
      </w:r>
    </w:p>
    <w:p>
      <w:pPr>
        <w:pStyle w:val="Normal"/>
        <w:spacing w:lineRule="auto" w:line="264" w:before="0" w:after="546"/>
        <w:ind w:left="3898" w:hanging="10"/>
        <w:jc w:val="center"/>
        <w:rPr/>
      </w:pPr>
      <w:r>
        <w:rPr/>
        <w:t xml:space="preserve">до типового індивідуального договору про надання послуг з централізованого водопостачання та централізованого водовідведення </w:t>
      </w:r>
    </w:p>
    <w:p>
      <w:pPr>
        <w:pStyle w:val="Normal"/>
        <w:spacing w:lineRule="auto" w:line="264" w:before="0" w:after="72"/>
        <w:ind w:left="173" w:right="173" w:hanging="10"/>
        <w:jc w:val="center"/>
        <w:rPr/>
      </w:pPr>
      <w:r>
        <w:rPr/>
        <w:t xml:space="preserve">ЗАЯВА-ПРИЄДНАННЯ </w:t>
      </w:r>
    </w:p>
    <w:p>
      <w:pPr>
        <w:pStyle w:val="Normal"/>
        <w:spacing w:lineRule="auto" w:line="326" w:before="0" w:after="158"/>
        <w:ind w:left="173" w:right="163" w:hanging="10"/>
        <w:jc w:val="center"/>
        <w:rPr/>
      </w:pPr>
      <w:r>
        <w:rPr/>
        <w:t xml:space="preserve">до індивідуального договору про надання послуг з централізованого водопостачання та  централізованого водовідведення </w:t>
      </w:r>
    </w:p>
    <w:p>
      <w:pPr>
        <w:pStyle w:val="Normal"/>
        <w:spacing w:lineRule="auto" w:line="321" w:before="0" w:after="0"/>
        <w:ind w:left="-15" w:firstLine="556"/>
        <w:rPr/>
      </w:pPr>
      <w:r>
        <w:rPr/>
        <w:t xml:space="preserve">Ознайомившись з умовами договору про надання послуг з централізованого водопостачання та централізованого водовідведення на </w:t>
      </w:r>
      <w:r>
        <w:rPr>
          <w:b/>
          <w:u w:val="single" w:color="000000"/>
        </w:rPr>
        <w:t xml:space="preserve">офіційному сайті  виконавця  </w:t>
      </w:r>
      <w:r>
        <w:rPr>
          <w:rFonts w:ascii="Georgia" w:hAnsi="Georgia"/>
          <w:b/>
          <w:bCs/>
          <w:szCs w:val="24"/>
          <w:u w:val="single"/>
          <w:lang w:val="en-US"/>
        </w:rPr>
        <w:t>abon</w:t>
      </w:r>
      <w:r>
        <w:rPr>
          <w:rFonts w:ascii="Georgia" w:hAnsi="Georgia"/>
          <w:b/>
          <w:bCs/>
          <w:szCs w:val="24"/>
          <w:u w:val="single"/>
        </w:rPr>
        <w:t>.</w:t>
      </w:r>
      <w:r>
        <w:rPr>
          <w:rFonts w:ascii="Georgia" w:hAnsi="Georgia"/>
          <w:b/>
          <w:bCs/>
          <w:szCs w:val="24"/>
          <w:u w:val="single"/>
          <w:lang w:val="en-US"/>
        </w:rPr>
        <w:t>com</w:t>
      </w:r>
      <w:r>
        <w:rPr>
          <w:rFonts w:ascii="Georgia" w:hAnsi="Georgia"/>
          <w:b/>
          <w:bCs/>
          <w:szCs w:val="24"/>
          <w:u w:val="single"/>
        </w:rPr>
        <w:t>.</w:t>
      </w:r>
      <w:r>
        <w:rPr>
          <w:rFonts w:ascii="Georgia" w:hAnsi="Georgia"/>
          <w:b/>
          <w:bCs/>
          <w:szCs w:val="24"/>
          <w:u w:val="single"/>
          <w:lang w:val="en-US"/>
        </w:rPr>
        <w:t>ua</w:t>
      </w:r>
      <w:r>
        <w:rPr>
          <w:sz w:val="28"/>
        </w:rPr>
        <w:t xml:space="preserve">, </w:t>
      </w:r>
    </w:p>
    <w:p>
      <w:pPr>
        <w:pStyle w:val="Normal"/>
        <w:spacing w:lineRule="auto" w:line="259" w:before="0" w:after="35"/>
        <w:ind w:left="141" w:hanging="10"/>
        <w:jc w:val="center"/>
        <w:rPr/>
      </w:pPr>
      <w:r>
        <w:rPr>
          <w:sz w:val="20"/>
        </w:rPr>
        <w:t xml:space="preserve">(назва офіційного веб-сайту органу місцевого самоврядування та/або веб-сайту виконавця) </w:t>
      </w:r>
    </w:p>
    <w:p>
      <w:pPr>
        <w:pStyle w:val="Normal"/>
        <w:spacing w:before="0" w:after="59"/>
        <w:ind w:left="-15" w:hanging="0"/>
        <w:rPr/>
      </w:pPr>
      <w:r>
        <w:rPr/>
        <w:t xml:space="preserve">приєднуюсь до договору про надання послуг з централізованого водопостачання та централізованого водовідведення </w:t>
      </w:r>
      <w:r>
        <w:rPr>
          <w:b/>
          <w:sz w:val="32"/>
          <w:szCs w:val="32"/>
          <w:u w:val="single"/>
        </w:rPr>
        <w:t>Буського підприємства водопровідно-каналізаційного господарства</w:t>
      </w:r>
      <w:r>
        <w:rPr>
          <w:b/>
        </w:rPr>
        <w:t xml:space="preserve"> </w:t>
      </w:r>
      <w:r>
        <w:rPr/>
        <w:t xml:space="preserve">з такими даними. </w:t>
      </w:r>
    </w:p>
    <w:p>
      <w:pPr>
        <w:pStyle w:val="Normal"/>
        <w:spacing w:lineRule="auto" w:line="259" w:before="0" w:after="116"/>
        <w:ind w:left="2842" w:hanging="10"/>
        <w:jc w:val="left"/>
        <w:rPr/>
      </w:pPr>
      <w:r>
        <w:rPr>
          <w:sz w:val="20"/>
        </w:rPr>
        <w:t xml:space="preserve">(назва виконавця) </w:t>
      </w:r>
    </w:p>
    <w:p>
      <w:pPr>
        <w:pStyle w:val="Normal"/>
        <w:spacing w:before="0" w:after="56"/>
        <w:ind w:left="567" w:hanging="0"/>
        <w:rPr/>
      </w:pPr>
      <w:r>
        <w:rPr/>
        <w:t xml:space="preserve">1. Інформація про споживача: </w:t>
      </w:r>
    </w:p>
    <w:p>
      <w:pPr>
        <w:pStyle w:val="Normal"/>
        <w:spacing w:before="0" w:after="30"/>
        <w:ind w:left="-15" w:firstLine="556"/>
        <w:rPr/>
      </w:pPr>
      <w:r>
        <w:rPr/>
        <w:t xml:space="preserve">1) найменування/прізвище, ім’я, по батькові (за наявності) _________________________ ________________________________________________________________________________, ідентифікаційний номер (код згідно з ЄДРПОУ) __________________________________, адреса реєстрації ____________________________________________________________, номер телефону _____________________________________________________________, адреса електронної пошти ____________________________________________________; 2) адреса приміщення споживача: </w:t>
      </w:r>
    </w:p>
    <w:p>
      <w:pPr>
        <w:pStyle w:val="Normal"/>
        <w:spacing w:lineRule="auto" w:line="288" w:before="0" w:after="0"/>
        <w:ind w:left="577" w:right="-13" w:hanging="10"/>
        <w:jc w:val="left"/>
        <w:rPr/>
      </w:pPr>
      <w:r>
        <w:rPr/>
        <w:t xml:space="preserve">вулиця ____________________________________________________________________, номер будинку ________________ номер квартири (приміщення) ___ місто(село,селище) __________________________________________________________,             район _____________________________________________________________________, область ____________________________________________________________________, індекс _____________________________________________________________________;  кількість осіб, які фактично користуються послугами ___________________________________________________________________________. </w:t>
      </w:r>
    </w:p>
    <w:p>
      <w:pPr>
        <w:pStyle w:val="Normal"/>
        <w:spacing w:lineRule="auto" w:line="259" w:before="0" w:after="0"/>
        <w:ind w:left="567" w:hanging="0"/>
        <w:jc w:val="left"/>
        <w:rPr/>
      </w:pPr>
      <w:r>
        <w:rPr/>
        <w:t xml:space="preserve"> </w:t>
      </w:r>
    </w:p>
    <w:p>
      <w:pPr>
        <w:pStyle w:val="Normal"/>
        <w:spacing w:before="0" w:after="0"/>
        <w:ind w:left="-15" w:firstLine="556"/>
        <w:rPr/>
      </w:pPr>
      <w:r>
        <w:rPr/>
        <w:t>абоненський номер споживача________________________________________________,</w:t>
      </w:r>
    </w:p>
    <w:p>
      <w:pPr>
        <w:pStyle w:val="Normal"/>
        <w:spacing w:before="0" w:after="0"/>
        <w:ind w:left="-15" w:firstLine="556"/>
        <w:rPr/>
      </w:pPr>
      <w:r>
        <w:rPr/>
      </w:r>
    </w:p>
    <w:p>
      <w:pPr>
        <w:pStyle w:val="Normal"/>
        <w:spacing w:before="0" w:after="0"/>
        <w:ind w:left="-15" w:firstLine="556"/>
        <w:rPr/>
      </w:pPr>
      <w:r>
        <w:rPr/>
        <w:t>характеристика вузлів розподільчого обліку_____________________________________,</w:t>
      </w:r>
    </w:p>
    <w:p>
      <w:pPr>
        <w:pStyle w:val="Normal"/>
        <w:spacing w:before="0" w:after="0"/>
        <w:ind w:left="-15" w:firstLine="556"/>
        <w:rPr/>
      </w:pPr>
      <w:r>
        <w:rPr/>
      </w:r>
    </w:p>
    <w:p>
      <w:pPr>
        <w:pStyle w:val="Normal"/>
        <w:spacing w:before="0" w:after="0"/>
        <w:ind w:left="-15" w:firstLine="556"/>
        <w:rPr/>
      </w:pPr>
      <w:r>
        <w:rPr/>
      </w:r>
    </w:p>
    <w:p>
      <w:pPr>
        <w:pStyle w:val="Normal"/>
        <w:spacing w:before="0" w:after="0"/>
        <w:ind w:left="-15" w:firstLine="556"/>
        <w:rPr/>
      </w:pPr>
      <w:r>
        <w:rPr/>
      </w:r>
    </w:p>
    <w:p>
      <w:pPr>
        <w:pStyle w:val="Normal"/>
        <w:spacing w:before="0" w:after="0"/>
        <w:ind w:left="-15" w:firstLine="556"/>
        <w:rPr/>
      </w:pPr>
      <w:r>
        <w:rPr/>
      </w:r>
    </w:p>
    <w:p>
      <w:pPr>
        <w:pStyle w:val="Normal"/>
        <w:spacing w:before="0" w:after="0"/>
        <w:ind w:left="-15" w:firstLine="556"/>
        <w:rPr/>
      </w:pPr>
      <w:r>
        <w:rPr/>
      </w:r>
    </w:p>
    <w:p>
      <w:pPr>
        <w:pStyle w:val="Normal"/>
        <w:spacing w:before="0" w:after="0"/>
        <w:ind w:left="-15" w:firstLine="556"/>
        <w:rPr/>
      </w:pPr>
      <w:r>
        <w:rPr/>
      </w:r>
    </w:p>
    <w:p>
      <w:pPr>
        <w:pStyle w:val="Normal"/>
        <w:spacing w:before="0" w:after="0"/>
        <w:ind w:left="-15" w:firstLine="556"/>
        <w:rPr/>
      </w:pPr>
      <w:r>
        <w:rPr/>
      </w:r>
    </w:p>
    <w:p>
      <w:pPr>
        <w:pStyle w:val="Normal"/>
        <w:spacing w:before="0" w:after="0"/>
        <w:ind w:left="-15" w:firstLine="556"/>
        <w:rPr/>
      </w:pPr>
      <w:r>
        <w:rPr/>
      </w:r>
    </w:p>
    <w:p>
      <w:pPr>
        <w:pStyle w:val="Normal"/>
        <w:spacing w:before="0" w:after="0"/>
        <w:ind w:left="-15" w:firstLine="556"/>
        <w:rPr/>
      </w:pPr>
      <w:r>
        <w:rPr/>
        <w:t xml:space="preserve">2. Приміщення споживача обладнане вузлом (вузлами) розподільного обліку централізованого водопостачання: </w:t>
      </w:r>
    </w:p>
    <w:tbl>
      <w:tblPr>
        <w:tblStyle w:val="TableGrid"/>
        <w:tblpPr w:bottomFromText="0" w:horzAnchor="margin" w:leftFromText="180" w:rightFromText="180" w:tblpX="0" w:tblpY="2257" w:topFromText="0" w:vertAnchor="page"/>
        <w:tblW w:w="9828" w:type="dxa"/>
        <w:jc w:val="left"/>
        <w:tblInd w:w="0" w:type="dxa"/>
        <w:tblCellMar>
          <w:top w:w="0" w:type="dxa"/>
          <w:left w:w="22" w:type="dxa"/>
          <w:bottom w:w="0" w:type="dxa"/>
          <w:right w:w="108" w:type="dxa"/>
        </w:tblCellMar>
        <w:tblLook w:firstRow="1" w:noVBand="1" w:lastRow="0" w:firstColumn="1" w:lastColumn="0" w:noHBand="0" w:val="04a0"/>
      </w:tblPr>
      <w:tblGrid>
        <w:gridCol w:w="861"/>
        <w:gridCol w:w="1740"/>
        <w:gridCol w:w="1631"/>
        <w:gridCol w:w="1603"/>
        <w:gridCol w:w="1390"/>
        <w:gridCol w:w="1413"/>
        <w:gridCol w:w="1189"/>
      </w:tblGrid>
      <w:tr>
        <w:trPr>
          <w:trHeight w:val="1942" w:hRule="atLeast"/>
        </w:trPr>
        <w:tc>
          <w:tcPr>
            <w:tcW w:w="8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0" w:hanging="0"/>
              <w:jc w:val="center"/>
              <w:rPr/>
            </w:pPr>
            <w:r>
              <w:rPr/>
              <w:t xml:space="preserve">Поряд ковий номер </w:t>
            </w:r>
          </w:p>
        </w:tc>
        <w:tc>
          <w:tcPr>
            <w:tcW w:w="17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37" w:before="0" w:after="0"/>
              <w:ind w:left="115" w:right="36" w:hanging="0"/>
              <w:jc w:val="center"/>
              <w:rPr/>
            </w:pPr>
            <w:r>
              <w:rPr/>
              <w:t xml:space="preserve">Заводський номер, назва та умовне </w:t>
            </w:r>
          </w:p>
          <w:p>
            <w:pPr>
              <w:pStyle w:val="Normal"/>
              <w:spacing w:lineRule="auto" w:line="259" w:before="0" w:after="0"/>
              <w:ind w:left="19" w:hanging="0"/>
              <w:jc w:val="center"/>
              <w:rPr/>
            </w:pPr>
            <w:r>
              <w:rPr/>
              <w:t xml:space="preserve">позначення </w:t>
            </w:r>
          </w:p>
          <w:p>
            <w:pPr>
              <w:pStyle w:val="Normal"/>
              <w:spacing w:lineRule="auto" w:line="259" w:before="0" w:after="0"/>
              <w:ind w:left="24" w:hanging="0"/>
              <w:jc w:val="center"/>
              <w:rPr/>
            </w:pPr>
            <w:r>
              <w:rPr/>
              <w:t xml:space="preserve">типу засобу </w:t>
            </w:r>
          </w:p>
          <w:p>
            <w:pPr>
              <w:pStyle w:val="Normal"/>
              <w:spacing w:lineRule="auto" w:line="259" w:before="0" w:after="0"/>
              <w:ind w:left="0" w:hanging="0"/>
              <w:jc w:val="center"/>
              <w:rPr/>
            </w:pPr>
            <w:r>
              <w:rPr/>
              <w:t xml:space="preserve">вимірювальної техніки </w:t>
            </w:r>
          </w:p>
        </w:tc>
        <w:tc>
          <w:tcPr>
            <w:tcW w:w="1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37" w:before="0" w:after="0"/>
              <w:ind w:left="0" w:hanging="0"/>
              <w:jc w:val="center"/>
              <w:rPr/>
            </w:pPr>
            <w:r>
              <w:rPr/>
              <w:t xml:space="preserve">Показання засобу </w:t>
            </w:r>
          </w:p>
          <w:p>
            <w:pPr>
              <w:pStyle w:val="Normal"/>
              <w:spacing w:lineRule="auto" w:line="259" w:before="0" w:after="0"/>
              <w:ind w:left="26" w:hanging="0"/>
              <w:rPr/>
            </w:pPr>
            <w:r>
              <w:rPr/>
              <w:t xml:space="preserve">вимірювальної </w:t>
            </w:r>
          </w:p>
          <w:p>
            <w:pPr>
              <w:pStyle w:val="Normal"/>
              <w:spacing w:lineRule="auto" w:line="259" w:before="0" w:after="0"/>
              <w:ind w:left="23" w:hanging="23"/>
              <w:jc w:val="center"/>
              <w:rPr/>
            </w:pPr>
            <w:r>
              <w:rPr/>
              <w:t xml:space="preserve">техніки на дату укладення договору </w:t>
            </w:r>
          </w:p>
        </w:tc>
        <w:tc>
          <w:tcPr>
            <w:tcW w:w="16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0" w:hanging="0"/>
              <w:jc w:val="center"/>
              <w:rPr/>
            </w:pPr>
            <w:r>
              <w:rPr/>
              <w:t xml:space="preserve">Місце встановлення </w:t>
            </w:r>
          </w:p>
        </w:tc>
        <w:tc>
          <w:tcPr>
            <w:tcW w:w="13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0" w:firstLine="9"/>
              <w:jc w:val="center"/>
              <w:rPr/>
            </w:pPr>
            <w:r>
              <w:rPr/>
              <w:t xml:space="preserve">Дата останньої повірки </w:t>
            </w:r>
          </w:p>
        </w:tc>
        <w:tc>
          <w:tcPr>
            <w:tcW w:w="141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4" w:before="0" w:after="0"/>
              <w:ind w:left="0" w:hanging="0"/>
              <w:jc w:val="center"/>
              <w:rPr/>
            </w:pPr>
            <w:r>
              <w:rPr/>
              <w:t xml:space="preserve">Міжпові рочний </w:t>
            </w:r>
          </w:p>
          <w:p>
            <w:pPr>
              <w:pStyle w:val="Normal"/>
              <w:spacing w:lineRule="auto" w:line="259" w:before="0" w:after="0"/>
              <w:ind w:left="0" w:hanging="0"/>
              <w:jc w:val="center"/>
              <w:rPr/>
            </w:pPr>
            <w:r>
              <w:rPr/>
              <w:t xml:space="preserve">інтервал, років </w:t>
            </w:r>
          </w:p>
        </w:tc>
        <w:tc>
          <w:tcPr>
            <w:tcW w:w="11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108" w:hanging="0"/>
              <w:jc w:val="left"/>
              <w:rPr/>
            </w:pPr>
            <w:r>
              <w:rPr/>
              <w:t xml:space="preserve">Примітка </w:t>
            </w:r>
          </w:p>
        </w:tc>
      </w:tr>
      <w:tr>
        <w:trPr>
          <w:trHeight w:val="286" w:hRule="atLeast"/>
        </w:trPr>
        <w:tc>
          <w:tcPr>
            <w:tcW w:w="8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82" w:hanging="0"/>
              <w:jc w:val="center"/>
              <w:rPr/>
            </w:pPr>
            <w:r>
              <w:rPr/>
              <w:t xml:space="preserve"> </w:t>
            </w:r>
          </w:p>
        </w:tc>
        <w:tc>
          <w:tcPr>
            <w:tcW w:w="17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79" w:hanging="0"/>
              <w:jc w:val="center"/>
              <w:rPr/>
            </w:pPr>
            <w:r>
              <w:rPr/>
              <w:t xml:space="preserve"> </w:t>
            </w:r>
          </w:p>
        </w:tc>
        <w:tc>
          <w:tcPr>
            <w:tcW w:w="16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29" w:hanging="0"/>
              <w:jc w:val="center"/>
              <w:rPr/>
            </w:pPr>
            <w:r>
              <w:rPr/>
              <w:t xml:space="preserve"> </w:t>
            </w:r>
          </w:p>
        </w:tc>
        <w:tc>
          <w:tcPr>
            <w:tcW w:w="16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77" w:hanging="0"/>
              <w:jc w:val="center"/>
              <w:rPr/>
            </w:pPr>
            <w:r>
              <w:rPr/>
              <w:t xml:space="preserve"> </w:t>
            </w:r>
          </w:p>
        </w:tc>
        <w:tc>
          <w:tcPr>
            <w:tcW w:w="13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79" w:hanging="0"/>
              <w:jc w:val="center"/>
              <w:rPr/>
            </w:pPr>
            <w:r>
              <w:rPr/>
              <w:t xml:space="preserve"> </w:t>
            </w:r>
          </w:p>
        </w:tc>
        <w:tc>
          <w:tcPr>
            <w:tcW w:w="141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84" w:hanging="0"/>
              <w:jc w:val="center"/>
              <w:rPr/>
            </w:pPr>
            <w:r>
              <w:rPr/>
              <w:t xml:space="preserve"> </w:t>
            </w:r>
          </w:p>
        </w:tc>
        <w:tc>
          <w:tcPr>
            <w:tcW w:w="11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77" w:hanging="0"/>
              <w:jc w:val="center"/>
              <w:rPr/>
            </w:pPr>
            <w:r>
              <w:rPr/>
              <w:t xml:space="preserve"> </w:t>
            </w:r>
          </w:p>
        </w:tc>
      </w:tr>
      <w:tr>
        <w:trPr>
          <w:trHeight w:val="286" w:hRule="atLeast"/>
        </w:trPr>
        <w:tc>
          <w:tcPr>
            <w:tcW w:w="8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82" w:hanging="0"/>
              <w:jc w:val="center"/>
              <w:rPr/>
            </w:pPr>
            <w:r>
              <w:rPr/>
              <w:t xml:space="preserve"> </w:t>
            </w:r>
          </w:p>
        </w:tc>
        <w:tc>
          <w:tcPr>
            <w:tcW w:w="17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79" w:hanging="0"/>
              <w:jc w:val="center"/>
              <w:rPr/>
            </w:pPr>
            <w:r>
              <w:rPr/>
              <w:t xml:space="preserve"> </w:t>
            </w:r>
          </w:p>
        </w:tc>
        <w:tc>
          <w:tcPr>
            <w:tcW w:w="16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29" w:hanging="0"/>
              <w:jc w:val="center"/>
              <w:rPr/>
            </w:pPr>
            <w:r>
              <w:rPr/>
              <w:t xml:space="preserve"> </w:t>
            </w:r>
          </w:p>
        </w:tc>
        <w:tc>
          <w:tcPr>
            <w:tcW w:w="16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77" w:hanging="0"/>
              <w:jc w:val="center"/>
              <w:rPr/>
            </w:pPr>
            <w:r>
              <w:rPr/>
              <w:t xml:space="preserve"> </w:t>
            </w:r>
          </w:p>
        </w:tc>
        <w:tc>
          <w:tcPr>
            <w:tcW w:w="13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79" w:hanging="0"/>
              <w:jc w:val="center"/>
              <w:rPr/>
            </w:pPr>
            <w:r>
              <w:rPr/>
              <w:t xml:space="preserve"> </w:t>
            </w:r>
          </w:p>
        </w:tc>
        <w:tc>
          <w:tcPr>
            <w:tcW w:w="141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84" w:hanging="0"/>
              <w:jc w:val="center"/>
              <w:rPr/>
            </w:pPr>
            <w:r>
              <w:rPr/>
              <w:t xml:space="preserve"> </w:t>
            </w:r>
          </w:p>
        </w:tc>
        <w:tc>
          <w:tcPr>
            <w:tcW w:w="11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77" w:hanging="0"/>
              <w:jc w:val="center"/>
              <w:rPr/>
            </w:pPr>
            <w:r>
              <w:rPr/>
              <w:t xml:space="preserve"> </w:t>
            </w:r>
          </w:p>
        </w:tc>
      </w:tr>
      <w:tr>
        <w:trPr>
          <w:trHeight w:val="286" w:hRule="atLeast"/>
        </w:trPr>
        <w:tc>
          <w:tcPr>
            <w:tcW w:w="8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82" w:hanging="0"/>
              <w:jc w:val="center"/>
              <w:rPr/>
            </w:pPr>
            <w:r>
              <w:rPr/>
              <w:t xml:space="preserve"> </w:t>
            </w:r>
          </w:p>
        </w:tc>
        <w:tc>
          <w:tcPr>
            <w:tcW w:w="17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79" w:hanging="0"/>
              <w:jc w:val="center"/>
              <w:rPr/>
            </w:pPr>
            <w:r>
              <w:rPr/>
              <w:t xml:space="preserve"> </w:t>
            </w:r>
          </w:p>
        </w:tc>
        <w:tc>
          <w:tcPr>
            <w:tcW w:w="163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29" w:hanging="0"/>
              <w:jc w:val="center"/>
              <w:rPr/>
            </w:pPr>
            <w:r>
              <w:rPr/>
              <w:t xml:space="preserve"> </w:t>
            </w:r>
          </w:p>
        </w:tc>
        <w:tc>
          <w:tcPr>
            <w:tcW w:w="16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77" w:hanging="0"/>
              <w:jc w:val="center"/>
              <w:rPr/>
            </w:pPr>
            <w:r>
              <w:rPr/>
              <w:t xml:space="preserve"> </w:t>
            </w:r>
          </w:p>
        </w:tc>
        <w:tc>
          <w:tcPr>
            <w:tcW w:w="139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79" w:hanging="0"/>
              <w:jc w:val="center"/>
              <w:rPr/>
            </w:pPr>
            <w:r>
              <w:rPr/>
              <w:t xml:space="preserve"> </w:t>
            </w:r>
          </w:p>
        </w:tc>
        <w:tc>
          <w:tcPr>
            <w:tcW w:w="141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84" w:hanging="0"/>
              <w:jc w:val="center"/>
              <w:rPr/>
            </w:pPr>
            <w:r>
              <w:rPr/>
              <w:t xml:space="preserve"> </w:t>
            </w:r>
          </w:p>
        </w:tc>
        <w:tc>
          <w:tcPr>
            <w:tcW w:w="118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77" w:hanging="0"/>
              <w:jc w:val="center"/>
              <w:rPr/>
            </w:pPr>
            <w:r>
              <w:rPr/>
              <w:t xml:space="preserve"> </w:t>
            </w:r>
          </w:p>
        </w:tc>
      </w:tr>
    </w:tbl>
    <w:p>
      <w:pPr>
        <w:pStyle w:val="Normal"/>
        <w:ind w:left="567" w:hanging="0"/>
        <w:rPr/>
      </w:pPr>
      <w:r>
        <w:rPr/>
      </w:r>
    </w:p>
    <w:p>
      <w:pPr>
        <w:pStyle w:val="Normal"/>
        <w:ind w:left="567" w:hanging="0"/>
        <w:rPr/>
      </w:pPr>
      <w:r>
        <w:rPr/>
      </w:r>
    </w:p>
    <w:p>
      <w:pPr>
        <w:pStyle w:val="Normal"/>
        <w:ind w:left="567" w:hanging="0"/>
        <w:rPr/>
      </w:pPr>
      <w:r>
        <w:rPr/>
      </w:r>
    </w:p>
    <w:p>
      <w:pPr>
        <w:pStyle w:val="Normal"/>
        <w:ind w:left="567" w:hanging="0"/>
        <w:rPr/>
      </w:pPr>
      <w:r>
        <w:rPr/>
      </w:r>
    </w:p>
    <w:p>
      <w:pPr>
        <w:pStyle w:val="Normal"/>
        <w:ind w:left="567" w:hanging="0"/>
        <w:rPr/>
      </w:pPr>
      <w:r>
        <w:rPr/>
        <w:t xml:space="preserve">Відмітка про підписання споживачем цієї заяви-приєднання: </w:t>
      </w:r>
    </w:p>
    <w:p>
      <w:pPr>
        <w:pStyle w:val="Normal"/>
        <w:tabs>
          <w:tab w:val="clear" w:pos="708"/>
          <w:tab w:val="center" w:pos="1332" w:leader="none"/>
          <w:tab w:val="center" w:pos="4339" w:leader="none"/>
          <w:tab w:val="center" w:pos="7685" w:leader="none"/>
        </w:tabs>
        <w:spacing w:lineRule="auto" w:line="259" w:before="0" w:after="95"/>
        <w:ind w:left="0" w:hanging="0"/>
        <w:jc w:val="left"/>
        <w:rPr/>
      </w:pPr>
      <w:r>
        <w:rPr>
          <w:rFonts w:eastAsia="Calibri" w:cs="Calibri" w:ascii="Calibri" w:hAnsi="Calibri"/>
          <w:sz w:val="22"/>
        </w:rPr>
        <w:tab/>
      </w:r>
      <w:r>
        <w:rPr/>
        <w:t xml:space="preserve">______________ </w:t>
        <w:tab/>
        <w:t xml:space="preserve">_________________________ </w:t>
        <w:tab/>
        <w:t xml:space="preserve">_________________________ </w:t>
      </w:r>
    </w:p>
    <w:p>
      <w:pPr>
        <w:pStyle w:val="Normal"/>
        <w:tabs>
          <w:tab w:val="clear" w:pos="708"/>
          <w:tab w:val="center" w:pos="1332" w:leader="none"/>
          <w:tab w:val="center" w:pos="4339" w:leader="none"/>
          <w:tab w:val="center" w:pos="7684" w:leader="none"/>
        </w:tabs>
        <w:spacing w:lineRule="auto" w:line="259" w:before="0" w:after="148"/>
        <w:ind w:left="0" w:hanging="0"/>
        <w:jc w:val="left"/>
        <w:rPr/>
      </w:pPr>
      <w:r>
        <w:rPr>
          <w:rFonts w:eastAsia="Calibri" w:cs="Calibri" w:ascii="Calibri" w:hAnsi="Calibri"/>
          <w:sz w:val="22"/>
        </w:rPr>
        <w:tab/>
      </w:r>
      <w:r>
        <w:rPr>
          <w:sz w:val="20"/>
        </w:rPr>
        <w:t>(дата)</w:t>
      </w:r>
      <w:r>
        <w:rPr/>
        <w:t xml:space="preserve"> </w:t>
        <w:tab/>
      </w:r>
      <w:r>
        <w:rPr>
          <w:sz w:val="20"/>
        </w:rPr>
        <w:t>(особистий підпис)</w:t>
      </w:r>
      <w:r>
        <w:rPr>
          <w:b/>
        </w:rPr>
        <w:t xml:space="preserve"> </w:t>
        <w:tab/>
      </w:r>
      <w:r>
        <w:rPr>
          <w:sz w:val="20"/>
        </w:rPr>
        <w:t xml:space="preserve">(прізвище, ім’я та по батькові </w:t>
      </w:r>
    </w:p>
    <w:p>
      <w:pPr>
        <w:pStyle w:val="Normal"/>
        <w:spacing w:lineRule="auto" w:line="259" w:before="0" w:after="496"/>
        <w:ind w:left="0" w:right="1376" w:hanging="0"/>
        <w:jc w:val="right"/>
        <w:rPr/>
      </w:pPr>
      <w:r>
        <w:rPr>
          <w:sz w:val="20"/>
        </w:rPr>
        <w:t>(за наявності)</w:t>
      </w:r>
      <w:r>
        <w:rPr>
          <w:sz w:val="28"/>
        </w:rPr>
        <w:t xml:space="preserve"> </w:t>
      </w:r>
    </w:p>
    <w:p>
      <w:pPr>
        <w:pStyle w:val="Normal"/>
        <w:spacing w:lineRule="auto" w:line="259" w:before="0" w:after="0"/>
        <w:ind w:left="0" w:hanging="0"/>
        <w:jc w:val="left"/>
        <w:rPr/>
      </w:pPr>
      <w:r>
        <w:rPr>
          <w:i/>
        </w:rPr>
        <w:t xml:space="preserve"> </w:t>
      </w:r>
    </w:p>
    <w:sectPr>
      <w:type w:val="nextPage"/>
      <w:pgSz w:w="11906" w:h="16838"/>
      <w:pgMar w:left="1416" w:right="845" w:header="0" w:top="894" w:footer="0" w:bottom="889"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Georgi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647"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367"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3087"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807"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527"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247"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967"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687"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2">
    <w:lvl w:ilvl="0">
      <w:start w:val="1"/>
      <w:numFmt w:val="decimal"/>
      <w:lvlText w:val="%1)"/>
      <w:lvlJc w:val="left"/>
      <w:pPr>
        <w:ind w:left="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647"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367"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3087"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807"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527"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247"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967"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687"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3">
    <w:lvl w:ilvl="0">
      <w:start w:val="8"/>
      <w:numFmt w:val="decimal"/>
      <w:lvlText w:val="%1."/>
      <w:lvlJc w:val="left"/>
      <w:pPr>
        <w:ind w:left="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646"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366"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3086"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806"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526"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246"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966"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686"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4">
    <w:lvl w:ilvl="0">
      <w:start w:val="23"/>
      <w:numFmt w:val="decimal"/>
      <w:lvlText w:val="%1."/>
      <w:lvlJc w:val="left"/>
      <w:pPr>
        <w:ind w:left="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646"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366"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3086"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806"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526"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246"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966"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686"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5">
    <w:lvl w:ilvl="0">
      <w:start w:val="31"/>
      <w:numFmt w:val="decimal"/>
      <w:lvlText w:val="%1."/>
      <w:lvlJc w:val="left"/>
      <w:pPr>
        <w:ind w:left="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646"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366"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3086"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806"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526"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246"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966"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686"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6">
    <w:lvl w:ilvl="0">
      <w:start w:val="1"/>
      <w:numFmt w:val="decimal"/>
      <w:lvlText w:val="%1)"/>
      <w:lvlJc w:val="left"/>
      <w:pPr>
        <w:ind w:left="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646"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366"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3086"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806"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526"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246"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966"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686"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7">
    <w:lvl w:ilvl="0">
      <w:start w:val="1"/>
      <w:numFmt w:val="decimal"/>
      <w:lvlText w:val="%1)"/>
      <w:lvlJc w:val="left"/>
      <w:pPr>
        <w:ind w:left="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646"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366"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3086"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806"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526"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246"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966"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686"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8">
    <w:lvl w:ilvl="0">
      <w:start w:val="1"/>
      <w:numFmt w:val="decimal"/>
      <w:lvlText w:val="%1)"/>
      <w:lvlJc w:val="left"/>
      <w:pPr>
        <w:ind w:left="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646"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366"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3086"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806"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526"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246"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966"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686"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9">
    <w:lvl w:ilvl="0">
      <w:start w:val="1"/>
      <w:numFmt w:val="decimal"/>
      <w:lvlText w:val="%1)"/>
      <w:lvlJc w:val="left"/>
      <w:pPr>
        <w:ind w:left="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646"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366"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3086"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806"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526"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246"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966"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686"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0">
    <w:lvl w:ilvl="0">
      <w:start w:val="43"/>
      <w:numFmt w:val="decimal"/>
      <w:lvlText w:val="%1."/>
      <w:lvlJc w:val="left"/>
      <w:pPr>
        <w:ind w:left="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646"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366"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3086"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806"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526"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246"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966"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686"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1">
    <w:lvl w:ilvl="0">
      <w:start w:val="49"/>
      <w:numFmt w:val="decimal"/>
      <w:lvlText w:val="%1."/>
      <w:lvlJc w:val="left"/>
      <w:pPr>
        <w:ind w:left="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646"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366"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3086"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806"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526"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246"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966"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686"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uk-UA" w:eastAsia="uk-UA"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61" w:before="0" w:after="111"/>
      <w:ind w:left="2828" w:firstLine="556"/>
      <w:jc w:val="both"/>
    </w:pPr>
    <w:rPr>
      <w:rFonts w:ascii="Times New Roman" w:hAnsi="Times New Roman" w:eastAsia="Times New Roman" w:cs="Times New Roman"/>
      <w:color w:val="000000"/>
      <w:kern w:val="0"/>
      <w:sz w:val="24"/>
      <w:szCs w:val="22"/>
      <w:lang w:val="uk-UA" w:eastAsia="uk-UA"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6a44dc"/>
    <w:rPr>
      <w:color w:val="0563C1" w:themeColor="hyperlink"/>
      <w:u w:val="single"/>
    </w:rPr>
  </w:style>
  <w:style w:type="character" w:styleId="Style15" w:customStyle="1">
    <w:name w:val="Текст выноски Знак"/>
    <w:basedOn w:val="DefaultParagraphFont"/>
    <w:link w:val="a4"/>
    <w:uiPriority w:val="99"/>
    <w:semiHidden/>
    <w:qFormat/>
    <w:rsid w:val="00bf074b"/>
    <w:rPr>
      <w:rFonts w:ascii="Segoe UI" w:hAnsi="Segoe UI" w:eastAsia="Times New Roman" w:cs="Segoe UI"/>
      <w:color w:val="000000"/>
      <w:sz w:val="18"/>
      <w:szCs w:val="18"/>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BalloonText">
    <w:name w:val="Balloon Text"/>
    <w:basedOn w:val="Normal"/>
    <w:link w:val="a5"/>
    <w:uiPriority w:val="99"/>
    <w:semiHidden/>
    <w:unhideWhenUsed/>
    <w:qFormat/>
    <w:rsid w:val="00bf074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uskvodokanal@gmail.com" TargetMode="External"/><Relationship Id="rId3" Type="http://schemas.openxmlformats.org/officeDocument/2006/relationships/hyperlink" Target="mailto:buskvodokanal@ukr.n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LibreOffice/6.3.2.2$Windows_X86_64 LibreOffice_project/98b30e735bda24bc04ab42594c85f7fd8be07b9c</Application>
  <Pages>14</Pages>
  <Words>4576</Words>
  <Characters>31748</Characters>
  <CharactersWithSpaces>36857</CharactersWithSpaces>
  <Paragraphs>236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2022-12-08T15:31:00Z</dcterms:created>
  <dc:creator>Пользователь</dc:creator>
  <dc:description/>
  <dc:language>en-US</dc:language>
  <cp:lastModifiedBy/>
  <cp:lastPrinted>2022-12-09T07:37:00Z</cp:lastPrinted>
  <dcterms:modified xsi:type="dcterms:W3CDTF">2023-01-17T11:49:04Z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